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41AE" w14:textId="77777777" w:rsidR="00081D27" w:rsidRDefault="00081D27">
      <w:pPr>
        <w:spacing w:before="3000"/>
      </w:pPr>
    </w:p>
    <w:p w14:paraId="23318748" w14:textId="2298636C" w:rsidR="00081D27" w:rsidRPr="00EF2849" w:rsidRDefault="00000000">
      <w:pPr>
        <w:pStyle w:val="Ttulo"/>
        <w:spacing w:after="120"/>
        <w:jc w:val="center"/>
        <w:rPr>
          <w:rFonts w:ascii="Aptos Black" w:hAnsi="Aptos Black"/>
        </w:rPr>
      </w:pPr>
      <w:r w:rsidRPr="00EF2849">
        <w:rPr>
          <w:rFonts w:ascii="Aptos Black" w:hAnsi="Aptos Black"/>
          <w:b/>
          <w:bCs/>
          <w:sz w:val="52"/>
          <w:szCs w:val="52"/>
        </w:rPr>
        <w:t>Paquete Técnico</w:t>
      </w:r>
    </w:p>
    <w:p w14:paraId="3E1F8B2E" w14:textId="77777777" w:rsidR="00081D27" w:rsidRPr="00EF2849" w:rsidRDefault="00000000">
      <w:pPr>
        <w:pStyle w:val="Ttulo"/>
        <w:spacing w:after="120"/>
        <w:jc w:val="center"/>
        <w:rPr>
          <w:rFonts w:ascii="Aptos Black" w:hAnsi="Aptos Black"/>
        </w:rPr>
      </w:pPr>
      <w:r w:rsidRPr="00EF2849">
        <w:rPr>
          <w:rFonts w:ascii="Aptos Black" w:hAnsi="Aptos Black"/>
          <w:b/>
          <w:bCs/>
          <w:color w:val="2B579A"/>
          <w:sz w:val="44"/>
          <w:szCs w:val="44"/>
        </w:rPr>
        <w:t xml:space="preserve">API </w:t>
      </w:r>
      <w:proofErr w:type="spellStart"/>
      <w:r w:rsidRPr="00EF2849">
        <w:rPr>
          <w:rFonts w:ascii="Aptos Black" w:hAnsi="Aptos Black"/>
          <w:b/>
          <w:bCs/>
          <w:color w:val="2B579A"/>
          <w:sz w:val="44"/>
          <w:szCs w:val="44"/>
        </w:rPr>
        <w:t>Cyber</w:t>
      </w:r>
      <w:proofErr w:type="spellEnd"/>
      <w:r w:rsidRPr="00EF2849">
        <w:rPr>
          <w:rFonts w:ascii="Aptos Black" w:hAnsi="Aptos Black"/>
          <w:b/>
          <w:bCs/>
          <w:color w:val="2B579A"/>
          <w:sz w:val="44"/>
          <w:szCs w:val="44"/>
        </w:rPr>
        <w:t xml:space="preserve"> Pro v1</w:t>
      </w:r>
    </w:p>
    <w:p w14:paraId="5B2B3C20" w14:textId="77777777" w:rsidR="00081D27" w:rsidRDefault="00081D27">
      <w:pPr>
        <w:spacing w:before="600"/>
      </w:pPr>
    </w:p>
    <w:p w14:paraId="24AE7E5B" w14:textId="4843EBBA" w:rsidR="00081D27" w:rsidRDefault="00000000">
      <w:pPr>
        <w:spacing w:after="120"/>
        <w:jc w:val="center"/>
      </w:pPr>
      <w:r>
        <w:rPr>
          <w:sz w:val="24"/>
          <w:szCs w:val="24"/>
        </w:rPr>
        <w:t xml:space="preserve">Preparado para: </w:t>
      </w:r>
      <w:r w:rsidR="00F83808">
        <w:rPr>
          <w:sz w:val="24"/>
          <w:szCs w:val="24"/>
        </w:rPr>
        <w:t>GMALV</w:t>
      </w:r>
    </w:p>
    <w:p w14:paraId="55321DA8" w14:textId="77777777" w:rsidR="00081D27" w:rsidRDefault="00081D27">
      <w:pPr>
        <w:spacing w:before="200"/>
      </w:pPr>
    </w:p>
    <w:p w14:paraId="7EA8A37F" w14:textId="7FCAE12B" w:rsidR="00081D27" w:rsidRDefault="00000000">
      <w:pPr>
        <w:spacing w:after="120"/>
        <w:jc w:val="center"/>
      </w:pPr>
      <w:r>
        <w:rPr>
          <w:color w:val="666666"/>
        </w:rPr>
        <w:t xml:space="preserve">Preparado por: </w:t>
      </w:r>
      <w:proofErr w:type="spellStart"/>
      <w:r w:rsidR="00D36905">
        <w:rPr>
          <w:color w:val="666666"/>
        </w:rPr>
        <w:t>ubiqs</w:t>
      </w:r>
      <w:proofErr w:type="spellEnd"/>
      <w:r w:rsidR="00D36905">
        <w:rPr>
          <w:color w:val="666666"/>
        </w:rPr>
        <w:t xml:space="preserve"> </w:t>
      </w:r>
      <w:proofErr w:type="spellStart"/>
      <w:r w:rsidR="00D36905">
        <w:rPr>
          <w:color w:val="666666"/>
        </w:rPr>
        <w:t>insurtech</w:t>
      </w:r>
      <w:proofErr w:type="spellEnd"/>
    </w:p>
    <w:p w14:paraId="26954DCD" w14:textId="77777777" w:rsidR="00081D27" w:rsidRDefault="00000000">
      <w:pPr>
        <w:spacing w:after="120"/>
        <w:jc w:val="center"/>
      </w:pPr>
      <w:r>
        <w:rPr>
          <w:color w:val="666666"/>
        </w:rPr>
        <w:t xml:space="preserve">Soporte tecnológico: </w:t>
      </w:r>
      <w:proofErr w:type="spellStart"/>
      <w:r>
        <w:rPr>
          <w:color w:val="666666"/>
        </w:rPr>
        <w:t>Boost</w:t>
      </w:r>
      <w:proofErr w:type="spellEnd"/>
      <w:r>
        <w:rPr>
          <w:color w:val="666666"/>
        </w:rPr>
        <w:t xml:space="preserve"> AI Agency (AI Nexus Labs SRL)</w:t>
      </w:r>
    </w:p>
    <w:p w14:paraId="48D68551" w14:textId="77777777" w:rsidR="00081D27" w:rsidRDefault="00081D27">
      <w:pPr>
        <w:spacing w:before="400"/>
      </w:pPr>
    </w:p>
    <w:p w14:paraId="68C55814" w14:textId="77777777" w:rsidR="00081D27" w:rsidRDefault="00000000">
      <w:pPr>
        <w:spacing w:after="120"/>
        <w:jc w:val="center"/>
      </w:pPr>
      <w:r>
        <w:rPr>
          <w:color w:val="666666"/>
        </w:rPr>
        <w:t>Fecha: 16 de abril de 2026</w:t>
      </w:r>
    </w:p>
    <w:p w14:paraId="75D0E76E" w14:textId="77777777" w:rsidR="00081D27" w:rsidRDefault="00000000">
      <w:pPr>
        <w:spacing w:after="120"/>
        <w:jc w:val="center"/>
      </w:pPr>
      <w:r>
        <w:rPr>
          <w:color w:val="666666"/>
        </w:rPr>
        <w:t>Versión: 1.0</w:t>
      </w:r>
    </w:p>
    <w:p w14:paraId="6A4B63F0" w14:textId="77777777" w:rsidR="00081D27" w:rsidRDefault="00081D27">
      <w:pPr>
        <w:sectPr w:rsidR="00081D27">
          <w:footerReference w:type="default" r:id="rId7"/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6945ED7D" w14:textId="3A8EF745" w:rsidR="00081D27" w:rsidRDefault="00C42B09">
      <w:pPr>
        <w:pStyle w:val="Ttulo1"/>
        <w:spacing w:after="120"/>
      </w:pPr>
      <w:r>
        <w:lastRenderedPageBreak/>
        <w:t>📦</w:t>
      </w:r>
      <w:r>
        <w:rPr>
          <w:b/>
          <w:bCs/>
          <w:color w:val="2B579A"/>
        </w:rPr>
        <w:t>Contenido</w:t>
      </w:r>
    </w:p>
    <w:p w14:paraId="3AB4C58D" w14:textId="77777777" w:rsidR="00081D27" w:rsidRDefault="00081D27">
      <w:pPr>
        <w:spacing w:before="200"/>
      </w:pPr>
    </w:p>
    <w:p w14:paraId="440B96B4" w14:textId="77777777" w:rsidR="00081D27" w:rsidRDefault="00000000">
      <w:pPr>
        <w:spacing w:after="120"/>
      </w:pPr>
      <w:r>
        <w:rPr>
          <w:b/>
          <w:bCs/>
          <w:sz w:val="24"/>
          <w:szCs w:val="24"/>
        </w:rPr>
        <w:t>Documento 1: Catálogo de Errores Ampliado</w:t>
      </w:r>
    </w:p>
    <w:p w14:paraId="0BA14120" w14:textId="77777777" w:rsidR="00081D27" w:rsidRDefault="00000000">
      <w:pPr>
        <w:spacing w:after="120"/>
      </w:pPr>
      <w:r>
        <w:rPr>
          <w:b/>
          <w:bCs/>
          <w:sz w:val="24"/>
          <w:szCs w:val="24"/>
        </w:rPr>
        <w:t>Documento 2: Ambientes de Pruebas</w:t>
      </w:r>
    </w:p>
    <w:p w14:paraId="444C11E9" w14:textId="77777777" w:rsidR="00081D27" w:rsidRDefault="00000000">
      <w:pPr>
        <w:spacing w:after="120"/>
      </w:pPr>
      <w:r>
        <w:rPr>
          <w:b/>
          <w:bCs/>
          <w:sz w:val="24"/>
          <w:szCs w:val="24"/>
        </w:rPr>
        <w:t xml:space="preserve">Documento 3: Suite de Operaciones (incluye </w:t>
      </w:r>
      <w:proofErr w:type="spellStart"/>
      <w:r>
        <w:rPr>
          <w:b/>
          <w:bCs/>
          <w:sz w:val="24"/>
          <w:szCs w:val="24"/>
        </w:rPr>
        <w:t>Dashboard</w:t>
      </w:r>
      <w:proofErr w:type="spellEnd"/>
      <w:r>
        <w:rPr>
          <w:b/>
          <w:bCs/>
          <w:sz w:val="24"/>
          <w:szCs w:val="24"/>
        </w:rPr>
        <w:t>)</w:t>
      </w:r>
    </w:p>
    <w:p w14:paraId="3557F4B5" w14:textId="77777777" w:rsidR="00081D27" w:rsidRDefault="00000000">
      <w:pPr>
        <w:spacing w:after="120"/>
      </w:pPr>
      <w:r>
        <w:rPr>
          <w:b/>
          <w:bCs/>
          <w:sz w:val="24"/>
          <w:szCs w:val="24"/>
        </w:rPr>
        <w:t>Documento 4: Acceso a Datos para BI</w:t>
      </w:r>
    </w:p>
    <w:p w14:paraId="0A538E29" w14:textId="77777777" w:rsidR="00081D27" w:rsidRDefault="00081D27">
      <w:pPr>
        <w:spacing w:before="200"/>
      </w:pPr>
    </w:p>
    <w:p w14:paraId="42817C88" w14:textId="77777777" w:rsidR="00081D27" w:rsidRDefault="00000000">
      <w:pPr>
        <w:spacing w:after="120"/>
      </w:pPr>
      <w:r>
        <w:rPr>
          <w:b/>
          <w:bCs/>
          <w:color w:val="666666"/>
        </w:rPr>
        <w:t>Archivos adjuntos (separados):</w:t>
      </w:r>
    </w:p>
    <w:p w14:paraId="7C934BBD" w14:textId="77777777" w:rsidR="00081D27" w:rsidRDefault="00000000" w:rsidP="00C42B09">
      <w:pPr>
        <w:pStyle w:val="Prrafodelista"/>
        <w:numPr>
          <w:ilvl w:val="0"/>
          <w:numId w:val="3"/>
        </w:numPr>
        <w:spacing w:after="60"/>
      </w:pPr>
      <w:r>
        <w:t>openapi-cyberpro-v</w:t>
      </w:r>
      <w:proofErr w:type="gramStart"/>
      <w:r>
        <w:t>1.yaml</w:t>
      </w:r>
      <w:proofErr w:type="gramEnd"/>
      <w:r>
        <w:t xml:space="preserve"> — Especificación </w:t>
      </w:r>
      <w:proofErr w:type="spellStart"/>
      <w:r>
        <w:t>OpenAPI</w:t>
      </w:r>
      <w:proofErr w:type="spellEnd"/>
      <w:r>
        <w:t xml:space="preserve"> 3.0 (Swagger/Postman)</w:t>
      </w:r>
    </w:p>
    <w:p w14:paraId="39CD85CD" w14:textId="1BA70336" w:rsidR="00081D27" w:rsidRDefault="00000000" w:rsidP="00C42B09">
      <w:pPr>
        <w:pStyle w:val="Prrafodelista"/>
        <w:numPr>
          <w:ilvl w:val="0"/>
          <w:numId w:val="3"/>
        </w:numPr>
        <w:spacing w:after="60"/>
      </w:pPr>
      <w:r>
        <w:t>arquitectura-cyberpro-v1.</w:t>
      </w:r>
      <w:r w:rsidR="00EF2849">
        <w:t>png</w:t>
      </w:r>
      <w:r>
        <w:t xml:space="preserve"> — Diagrama de arquitectura técnica</w:t>
      </w:r>
    </w:p>
    <w:p w14:paraId="1C92D1EE" w14:textId="77777777" w:rsidR="00081D27" w:rsidRDefault="00000000">
      <w:r>
        <w:br w:type="page"/>
      </w:r>
    </w:p>
    <w:p w14:paraId="478C63BD" w14:textId="77777777" w:rsidR="00081D27" w:rsidRDefault="00081D27">
      <w:pPr>
        <w:sectPr w:rsidR="00081D27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6FDB200D" w14:textId="41295C34" w:rsidR="00081D27" w:rsidRDefault="00C42B09">
      <w:pPr>
        <w:pStyle w:val="Ttulo1"/>
        <w:spacing w:after="120"/>
      </w:pPr>
      <w:r>
        <w:rPr>
          <w:rFonts w:ascii="Segoe UI Emoji" w:hAnsi="Segoe UI Emoji" w:cs="Segoe UI Emoji"/>
          <w:b/>
          <w:bCs/>
          <w:color w:val="2B579A"/>
        </w:rPr>
        <w:lastRenderedPageBreak/>
        <w:t xml:space="preserve">📋 </w:t>
      </w:r>
      <w:r>
        <w:rPr>
          <w:b/>
          <w:bCs/>
          <w:color w:val="2B579A"/>
        </w:rPr>
        <w:t>Documento 1: Catálogo de Errores Ampliado</w:t>
      </w:r>
    </w:p>
    <w:p w14:paraId="44697D1F" w14:textId="77777777" w:rsidR="00081D27" w:rsidRDefault="00081D27">
      <w:pPr>
        <w:spacing w:before="200"/>
      </w:pPr>
    </w:p>
    <w:p w14:paraId="1DF1E568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1. Estructura General de Errores</w:t>
      </w:r>
    </w:p>
    <w:p w14:paraId="63FA83C5" w14:textId="77777777" w:rsidR="00081D27" w:rsidRDefault="00000000">
      <w:pPr>
        <w:spacing w:after="120"/>
      </w:pPr>
      <w:r>
        <w:t>Todas las respuestas de error siguen un esquema unificado con los campos: ok (</w:t>
      </w:r>
      <w:proofErr w:type="spellStart"/>
      <w:r>
        <w:t>boolean</w:t>
      </w:r>
      <w:proofErr w:type="spellEnd"/>
      <w:r>
        <w:t xml:space="preserve">, siempre false), </w:t>
      </w:r>
      <w:proofErr w:type="spellStart"/>
      <w:proofErr w:type="gramStart"/>
      <w:r>
        <w:t>error.type</w:t>
      </w:r>
      <w:proofErr w:type="spellEnd"/>
      <w:proofErr w:type="gramEnd"/>
      <w:r>
        <w:t xml:space="preserve"> (identificador del tipo), </w:t>
      </w:r>
      <w:proofErr w:type="spellStart"/>
      <w:proofErr w:type="gramStart"/>
      <w:r>
        <w:t>error.message</w:t>
      </w:r>
      <w:proofErr w:type="spellEnd"/>
      <w:proofErr w:type="gramEnd"/>
      <w:r>
        <w:t xml:space="preserve"> (descripción legible en español), y </w:t>
      </w:r>
      <w:proofErr w:type="spellStart"/>
      <w:proofErr w:type="gramStart"/>
      <w:r>
        <w:t>error.details</w:t>
      </w:r>
      <w:proofErr w:type="spellEnd"/>
      <w:proofErr w:type="gramEnd"/>
      <w:r>
        <w:t xml:space="preserve"> (información adicional según el tipo).</w:t>
      </w:r>
    </w:p>
    <w:p w14:paraId="1C9E173A" w14:textId="77777777" w:rsidR="00081D27" w:rsidRDefault="00081D27">
      <w:pPr>
        <w:spacing w:before="200"/>
      </w:pPr>
    </w:p>
    <w:p w14:paraId="77EDCCCE" w14:textId="41E33DC4" w:rsidR="00081D27" w:rsidRDefault="00000000">
      <w:pPr>
        <w:pStyle w:val="Ttulo2"/>
        <w:spacing w:after="120"/>
      </w:pPr>
      <w:r>
        <w:rPr>
          <w:b/>
          <w:bCs/>
          <w:color w:val="2B579A"/>
        </w:rPr>
        <w:t xml:space="preserve">▸ 2. Tipos de Error de la API </w:t>
      </w:r>
      <w:r w:rsidR="00EF2849">
        <w:rPr>
          <w:b/>
          <w:bCs/>
          <w:color w:val="2B579A"/>
        </w:rPr>
        <w:t>UBIQS</w:t>
      </w:r>
      <w:r>
        <w:rPr>
          <w:b/>
          <w:bCs/>
          <w:color w:val="2B579A"/>
        </w:rPr>
        <w:t xml:space="preserve"> (7 tipos)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3"/>
        <w:gridCol w:w="630"/>
        <w:gridCol w:w="2034"/>
        <w:gridCol w:w="1517"/>
        <w:gridCol w:w="2522"/>
      </w:tblGrid>
      <w:tr w:rsidR="00081D27" w14:paraId="44AE7FD4" w14:textId="77777777"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D6F8A3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Tipo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0D8484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HTTP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A1AD2C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7D3612" w14:textId="77777777" w:rsidR="00081D27" w:rsidRDefault="00000000">
            <w:pPr>
              <w:spacing w:after="4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Reintentable</w:t>
            </w:r>
            <w:proofErr w:type="spellEnd"/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A901626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Acción Recomendada</w:t>
            </w:r>
          </w:p>
        </w:tc>
      </w:tr>
      <w:tr w:rsidR="00081D27" w14:paraId="3A67D588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6AC18D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VALIDATION_ERROR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9040C0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10C96A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Campos faltantes o inválidos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0B9BD0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Sí (corregir datos)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36525C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Corregir campos indicados en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details.missing</w:t>
            </w:r>
            <w:proofErr w:type="spellEnd"/>
            <w:proofErr w:type="gramEnd"/>
          </w:p>
        </w:tc>
      </w:tr>
      <w:tr w:rsidR="00081D27" w14:paraId="18B5BCB0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C7794C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CONSENT_REQUIRED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927B7E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986045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Emisión sin consentimiento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B22C8D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Sí (obtener </w:t>
            </w:r>
            <w:proofErr w:type="spellStart"/>
            <w:r>
              <w:rPr>
                <w:color w:val="000000"/>
                <w:sz w:val="20"/>
                <w:szCs w:val="20"/>
              </w:rPr>
              <w:t>consent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64163C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Obtener consentimiento y reintentar</w:t>
            </w:r>
          </w:p>
        </w:tc>
      </w:tr>
      <w:tr w:rsidR="00081D27" w14:paraId="1ADA61BB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146AF5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LOCATION_AMBIGUOUS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57E344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B66C43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Múltiples coincidencias ubicación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46427E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Sí (seleccionar)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15B6910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Presentar opciones de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details.candidates</w:t>
            </w:r>
            <w:proofErr w:type="spellEnd"/>
            <w:proofErr w:type="gramEnd"/>
          </w:p>
        </w:tc>
      </w:tr>
      <w:tr w:rsidR="00081D27" w14:paraId="5B88469B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6E4116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INS_ERROR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67BBD43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1872F4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Error del INS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FEDCA5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63964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Revisar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details.detail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y corregir datos</w:t>
            </w:r>
          </w:p>
        </w:tc>
      </w:tr>
      <w:tr w:rsidR="00081D27" w14:paraId="27FBDCE7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097FFA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UNAUTHORIZED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7F613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C1CBE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API </w:t>
            </w:r>
            <w:proofErr w:type="spellStart"/>
            <w:r>
              <w:rPr>
                <w:color w:val="000000"/>
                <w:sz w:val="20"/>
                <w:szCs w:val="20"/>
              </w:rPr>
              <w:t>key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inválida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B7607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FC7407" w14:textId="49783A0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Verificar credenciales con </w:t>
            </w:r>
            <w:r w:rsidR="00EF2849">
              <w:rPr>
                <w:color w:val="000000"/>
                <w:sz w:val="20"/>
                <w:szCs w:val="20"/>
              </w:rPr>
              <w:t>UBIQS</w:t>
            </w:r>
          </w:p>
        </w:tc>
      </w:tr>
      <w:tr w:rsidR="00081D27" w14:paraId="70DC77F3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5651C7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NETWORK_ERROR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8BFA2F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09D46F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Error de conectividad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278DCD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Sí (</w:t>
            </w:r>
            <w:proofErr w:type="spellStart"/>
            <w:r>
              <w:rPr>
                <w:color w:val="000000"/>
                <w:sz w:val="20"/>
                <w:szCs w:val="20"/>
              </w:rPr>
              <w:t>máx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2, 5s)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77C565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Reintentar después de 5 segundos</w:t>
            </w:r>
          </w:p>
        </w:tc>
      </w:tr>
      <w:tr w:rsidR="00081D27" w14:paraId="3E79B090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F29153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UPSTREAM_TIMEOUT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BDF44A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51C49A" w14:textId="77777777" w:rsidR="00081D27" w:rsidRDefault="00000000">
            <w:pPr>
              <w:spacing w:after="40"/>
            </w:pPr>
            <w:proofErr w:type="spellStart"/>
            <w:r>
              <w:rPr>
                <w:color w:val="000000"/>
                <w:sz w:val="20"/>
                <w:szCs w:val="20"/>
              </w:rPr>
              <w:t>Timeout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del INS (&gt;15s)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F01C64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Sí (</w:t>
            </w:r>
            <w:proofErr w:type="spellStart"/>
            <w:r>
              <w:rPr>
                <w:color w:val="000000"/>
                <w:sz w:val="20"/>
                <w:szCs w:val="20"/>
              </w:rPr>
              <w:t>máx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1, 10s)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7DF70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Reintentar después de 10 segundos</w:t>
            </w:r>
          </w:p>
        </w:tc>
      </w:tr>
    </w:tbl>
    <w:p w14:paraId="5D775DED" w14:textId="77777777" w:rsidR="00081D27" w:rsidRDefault="00081D27">
      <w:pPr>
        <w:spacing w:before="200"/>
      </w:pPr>
    </w:p>
    <w:p w14:paraId="475B303A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3. Códigos de Estado del INS (</w:t>
      </w:r>
      <w:proofErr w:type="spellStart"/>
      <w:r>
        <w:rPr>
          <w:b/>
          <w:bCs/>
          <w:color w:val="2B579A"/>
        </w:rPr>
        <w:t>codigoEstado</w:t>
      </w:r>
      <w:proofErr w:type="spellEnd"/>
      <w:r>
        <w:rPr>
          <w:b/>
          <w:bCs/>
          <w:color w:val="2B579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4"/>
        <w:gridCol w:w="2656"/>
        <w:gridCol w:w="1913"/>
        <w:gridCol w:w="3043"/>
      </w:tblGrid>
      <w:tr w:rsidR="00081D27" w14:paraId="55FFA997" w14:textId="77777777"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05606D3" w14:textId="77777777" w:rsidR="00081D27" w:rsidRDefault="00000000">
            <w:pPr>
              <w:spacing w:after="4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codigoEstado</w:t>
            </w:r>
            <w:proofErr w:type="spellEnd"/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5099C1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Significado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27576E" w14:textId="367E050B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Mapeo API </w:t>
            </w:r>
            <w:r w:rsidR="00EF2849">
              <w:rPr>
                <w:b/>
                <w:bCs/>
                <w:color w:val="FFFFFF"/>
                <w:sz w:val="20"/>
                <w:szCs w:val="20"/>
              </w:rPr>
              <w:t>UBIQS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A51FA65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Acción</w:t>
            </w:r>
          </w:p>
        </w:tc>
      </w:tr>
      <w:tr w:rsidR="00081D27" w14:paraId="525B3009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19E8D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"00"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063190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Operación exitosa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A8104C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ok: true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85E2D0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Procesar respuesta normalmente</w:t>
            </w:r>
          </w:p>
        </w:tc>
      </w:tr>
      <w:tr w:rsidR="00081D27" w14:paraId="4E77B097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4EA76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"2"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781379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Deuda pendiente (asíncrono)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8FDDA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ok: true (intermedio)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3626B5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Consultar DEUDA_ESTADO</w:t>
            </w:r>
          </w:p>
        </w:tc>
      </w:tr>
      <w:tr w:rsidR="00081D27" w14:paraId="67812072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BE6B98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"98"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327ECA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Solicitud rechazada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036B35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INS_ERROR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8A238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Ver tabla de pagos</w:t>
            </w:r>
          </w:p>
        </w:tc>
      </w:tr>
      <w:tr w:rsidR="00081D27" w14:paraId="6C868AA9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C696BF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"99"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91F55A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Error en datos enviados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7E60F9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INS_ERROR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5B242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Revisar </w:t>
            </w:r>
            <w:proofErr w:type="spellStart"/>
            <w:r>
              <w:rPr>
                <w:color w:val="000000"/>
                <w:sz w:val="20"/>
                <w:szCs w:val="20"/>
              </w:rPr>
              <w:t>detail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corregir</w:t>
            </w:r>
          </w:p>
        </w:tc>
      </w:tr>
      <w:tr w:rsidR="00081D27" w14:paraId="72D99B8B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8272D4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"500"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7BE53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Error interno INS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1448CA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NETWORK_ERROR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39575F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Reintentar; si persiste, escalar</w:t>
            </w:r>
          </w:p>
        </w:tc>
      </w:tr>
    </w:tbl>
    <w:p w14:paraId="21312101" w14:textId="77777777" w:rsidR="00081D27" w:rsidRDefault="00081D27">
      <w:pPr>
        <w:spacing w:before="200"/>
      </w:pPr>
    </w:p>
    <w:p w14:paraId="47F1EA30" w14:textId="77777777" w:rsidR="00EF2849" w:rsidRDefault="00EF2849">
      <w:pPr>
        <w:rPr>
          <w:b/>
          <w:bCs/>
          <w:color w:val="2B579A"/>
          <w:sz w:val="26"/>
          <w:szCs w:val="26"/>
        </w:rPr>
      </w:pPr>
      <w:r>
        <w:rPr>
          <w:b/>
          <w:bCs/>
          <w:color w:val="2B579A"/>
        </w:rPr>
        <w:br w:type="page"/>
      </w:r>
    </w:p>
    <w:p w14:paraId="74CBE06D" w14:textId="57829744" w:rsidR="00081D27" w:rsidRDefault="00000000">
      <w:pPr>
        <w:pStyle w:val="Ttulo2"/>
        <w:spacing w:after="120"/>
      </w:pPr>
      <w:r>
        <w:rPr>
          <w:b/>
          <w:bCs/>
          <w:color w:val="2B579A"/>
        </w:rPr>
        <w:lastRenderedPageBreak/>
        <w:t>▸ 4. Códigos de Respuesta de Pagos (Fase 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1189"/>
        <w:gridCol w:w="1289"/>
        <w:gridCol w:w="2493"/>
        <w:gridCol w:w="1933"/>
      </w:tblGrid>
      <w:tr w:rsidR="00081D27" w14:paraId="3B9E75C0" w14:textId="77777777" w:rsidTr="00EF2849">
        <w:trPr>
          <w:tblHeader/>
        </w:trPr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6DB739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Escenario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1AE8D7" w14:textId="77777777" w:rsidR="00081D27" w:rsidRDefault="00000000">
            <w:pPr>
              <w:spacing w:after="4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CodEstado</w:t>
            </w:r>
            <w:proofErr w:type="spellEnd"/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633F7F" w14:textId="77777777" w:rsidR="00081D27" w:rsidRDefault="00000000">
            <w:pPr>
              <w:spacing w:after="4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EsAprobada</w:t>
            </w:r>
            <w:proofErr w:type="spellEnd"/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87B83E" w14:textId="77777777" w:rsidR="00081D27" w:rsidRDefault="00000000">
            <w:pPr>
              <w:spacing w:after="4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MensajesUsuario</w:t>
            </w:r>
            <w:proofErr w:type="spellEnd"/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B3D27B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Acción</w:t>
            </w:r>
          </w:p>
        </w:tc>
      </w:tr>
      <w:tr w:rsidR="00081D27" w14:paraId="1DDCDBE5" w14:textId="77777777" w:rsidTr="00EF2849">
        <w:trPr>
          <w:tblHeader/>
        </w:trPr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182203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Pago satisfactorio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DDB01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"00"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CB87A5A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3ACA67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APPROVED (</w:t>
            </w:r>
            <w:proofErr w:type="spellStart"/>
            <w:r>
              <w:rPr>
                <w:color w:val="000000"/>
                <w:sz w:val="20"/>
                <w:szCs w:val="20"/>
              </w:rPr>
              <w:t>auth</w:t>
            </w:r>
            <w:proofErr w:type="spellEnd"/>
            <w:r>
              <w:rPr>
                <w:color w:val="000000"/>
                <w:sz w:val="20"/>
                <w:szCs w:val="20"/>
              </w:rPr>
              <w:t>#)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73A71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Continuar flujo</w:t>
            </w:r>
          </w:p>
        </w:tc>
      </w:tr>
      <w:tr w:rsidR="00081D27" w14:paraId="5AD8C420" w14:textId="77777777" w:rsidTr="00EF2849">
        <w:trPr>
          <w:tblHeader/>
        </w:trPr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CEC93D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Tarjeta declinada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EF9888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"98"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BB90E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AB35659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DECLINADA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04590A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Solicitar otra tarjeta</w:t>
            </w:r>
          </w:p>
        </w:tc>
      </w:tr>
      <w:tr w:rsidR="00081D27" w14:paraId="1C084EB4" w14:textId="77777777" w:rsidTr="00EF2849">
        <w:trPr>
          <w:tblHeader/>
        </w:trPr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E8E44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Cuenta inválida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896948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"98"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98B69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A0901F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CUENTA INVALIDA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C5DEFD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Verificar datos</w:t>
            </w:r>
          </w:p>
        </w:tc>
      </w:tr>
      <w:tr w:rsidR="00081D27" w14:paraId="1F1423FB" w14:textId="77777777" w:rsidTr="00EF2849">
        <w:trPr>
          <w:tblHeader/>
        </w:trPr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C00B1D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Fondos insuficientes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770218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"98"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98332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4EF303E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FONDOS INSUFICIENTES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1A82AF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Informar al cliente</w:t>
            </w:r>
          </w:p>
        </w:tc>
      </w:tr>
      <w:tr w:rsidR="00081D27" w14:paraId="03F961ED" w14:textId="77777777" w:rsidTr="00EF2849">
        <w:trPr>
          <w:tblHeader/>
        </w:trPr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B514B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Monto límite excedido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E7D990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"98"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924E8A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DBED2F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MONTO LIMITE EXCEDIDO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26F107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Otra tarjeta</w:t>
            </w:r>
          </w:p>
        </w:tc>
      </w:tr>
      <w:tr w:rsidR="00081D27" w14:paraId="40FBC892" w14:textId="77777777" w:rsidTr="00EF2849">
        <w:trPr>
          <w:tblHeader/>
        </w:trPr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2E8669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Transacción inválida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E71E4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"98"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820D44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43EABC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TRANSACCION INVALIDA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90D9AF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Reintentar o escalar</w:t>
            </w:r>
          </w:p>
        </w:tc>
      </w:tr>
      <w:tr w:rsidR="00081D27" w14:paraId="7F8362C6" w14:textId="77777777" w:rsidTr="00EF2849">
        <w:trPr>
          <w:tblHeader/>
        </w:trPr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4A5EA6" w14:textId="77777777" w:rsidR="00081D27" w:rsidRDefault="00000000">
            <w:pPr>
              <w:spacing w:after="40"/>
            </w:pPr>
            <w:proofErr w:type="spellStart"/>
            <w:r>
              <w:rPr>
                <w:color w:val="000000"/>
                <w:sz w:val="20"/>
                <w:szCs w:val="20"/>
              </w:rPr>
              <w:t>Timeout</w:t>
            </w:r>
            <w:proofErr w:type="spellEnd"/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E1DBAC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"500"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925DA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1F737C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HTTP 500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09E2F24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Reintentar (</w:t>
            </w:r>
            <w:proofErr w:type="spellStart"/>
            <w:r>
              <w:rPr>
                <w:color w:val="000000"/>
                <w:sz w:val="20"/>
                <w:szCs w:val="20"/>
              </w:rPr>
              <w:t>máx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1)</w:t>
            </w:r>
          </w:p>
        </w:tc>
      </w:tr>
    </w:tbl>
    <w:p w14:paraId="6E7138F1" w14:textId="77777777" w:rsidR="00081D27" w:rsidRDefault="00081D27">
      <w:pPr>
        <w:spacing w:before="200"/>
      </w:pPr>
    </w:p>
    <w:p w14:paraId="08A26EDD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5. Política de Reintentos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3"/>
        <w:gridCol w:w="1738"/>
        <w:gridCol w:w="1467"/>
        <w:gridCol w:w="1230"/>
        <w:gridCol w:w="2268"/>
      </w:tblGrid>
      <w:tr w:rsidR="00081D27" w14:paraId="09938CCB" w14:textId="77777777"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83CAC2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Tipo de Error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065058" w14:textId="77777777" w:rsidR="00081D27" w:rsidRDefault="00000000">
            <w:pPr>
              <w:spacing w:after="4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Auto-reintento</w:t>
            </w:r>
            <w:proofErr w:type="spellEnd"/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644E79B" w14:textId="77777777" w:rsidR="00081D27" w:rsidRDefault="00000000">
            <w:pPr>
              <w:spacing w:after="4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Máx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reintentos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760285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Espera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64B80A8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Escalación</w:t>
            </w:r>
          </w:p>
        </w:tc>
      </w:tr>
      <w:tr w:rsidR="00081D27" w14:paraId="3A12B03A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C8D0077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NETWORK_ERROR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57C253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Sí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C6D5F9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0B99E9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5 segundos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1C3B10" w14:textId="22922311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Soporte </w:t>
            </w:r>
            <w:r w:rsidR="00EF2849">
              <w:rPr>
                <w:color w:val="000000"/>
                <w:sz w:val="20"/>
                <w:szCs w:val="20"/>
              </w:rPr>
              <w:t>UBIQS</w:t>
            </w:r>
            <w:r>
              <w:rPr>
                <w:color w:val="000000"/>
                <w:sz w:val="20"/>
                <w:szCs w:val="20"/>
              </w:rPr>
              <w:t xml:space="preserve"> si &gt;15 min</w:t>
            </w:r>
          </w:p>
        </w:tc>
      </w:tr>
      <w:tr w:rsidR="00081D27" w14:paraId="759D2A33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FF6B9F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UPSTREAM_TIMEOUT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D0A8B3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Sí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E4B14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718087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10 segundos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25C9A6D" w14:textId="588A173E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Soporte </w:t>
            </w:r>
            <w:r w:rsidR="00EF2849">
              <w:rPr>
                <w:color w:val="000000"/>
                <w:sz w:val="20"/>
                <w:szCs w:val="20"/>
              </w:rPr>
              <w:t>UBIQS</w:t>
            </w:r>
          </w:p>
        </w:tc>
      </w:tr>
      <w:tr w:rsidR="00081D27" w14:paraId="39A2F5A0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68E83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UNAUTHORIZED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8A1E318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No (</w:t>
            </w:r>
            <w:proofErr w:type="spellStart"/>
            <w:r>
              <w:rPr>
                <w:color w:val="000000"/>
                <w:sz w:val="20"/>
                <w:szCs w:val="20"/>
              </w:rPr>
              <w:t>refresh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interno)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591EA6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1 (auto)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D98333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Inmediato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8B0DF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Verificar credenciales</w:t>
            </w:r>
          </w:p>
        </w:tc>
      </w:tr>
      <w:tr w:rsidR="00081D27" w14:paraId="0EE110BC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BB5C68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INS_ERROR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8D125D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0648EA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27E54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942F2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Revisar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details.detail</w:t>
            </w:r>
            <w:proofErr w:type="spellEnd"/>
            <w:proofErr w:type="gramEnd"/>
          </w:p>
        </w:tc>
      </w:tr>
      <w:tr w:rsidR="00081D27" w14:paraId="404701C3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4BA68E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VALIDATION_ERROR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41808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EBDCD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84B16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966900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Corregir datos</w:t>
            </w:r>
          </w:p>
        </w:tc>
      </w:tr>
      <w:tr w:rsidR="00081D27" w14:paraId="1BACE145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F1B6AB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CONSENT_REQUIRED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9DA806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7D65B5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B3AC9E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F1F76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Obtener consentimiento</w:t>
            </w:r>
          </w:p>
        </w:tc>
      </w:tr>
      <w:tr w:rsidR="00081D27" w14:paraId="3A9D8A8F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4AC60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LOCATION_AMBIGUOUS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9C73C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119233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227543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F950CD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Seleccionar candidato</w:t>
            </w:r>
          </w:p>
        </w:tc>
      </w:tr>
    </w:tbl>
    <w:p w14:paraId="48D971BB" w14:textId="77777777" w:rsidR="00081D27" w:rsidRDefault="00000000">
      <w:r>
        <w:br w:type="page"/>
      </w:r>
    </w:p>
    <w:p w14:paraId="58ECEE58" w14:textId="77777777" w:rsidR="00081D27" w:rsidRDefault="00081D27">
      <w:pPr>
        <w:sectPr w:rsidR="00081D27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148096E3" w14:textId="5903C07E" w:rsidR="00081D27" w:rsidRDefault="00C42B09">
      <w:pPr>
        <w:pStyle w:val="Ttulo1"/>
        <w:spacing w:after="120"/>
      </w:pPr>
      <w:r>
        <w:rPr>
          <w:rFonts w:ascii="Segoe UI Emoji" w:hAnsi="Segoe UI Emoji" w:cs="Segoe UI Emoji"/>
          <w:b/>
          <w:bCs/>
          <w:color w:val="2B579A"/>
        </w:rPr>
        <w:lastRenderedPageBreak/>
        <w:t xml:space="preserve">📋 </w:t>
      </w:r>
      <w:r>
        <w:rPr>
          <w:b/>
          <w:bCs/>
          <w:color w:val="2B579A"/>
        </w:rPr>
        <w:t>Documento 2: Ambientes de Pruebas</w:t>
      </w:r>
    </w:p>
    <w:p w14:paraId="2429520A" w14:textId="77777777" w:rsidR="00081D27" w:rsidRDefault="00081D27">
      <w:pPr>
        <w:spacing w:before="200"/>
      </w:pPr>
    </w:p>
    <w:p w14:paraId="603D1FB9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1. Ambientes Disponibles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4015"/>
        <w:gridCol w:w="2672"/>
        <w:gridCol w:w="1174"/>
      </w:tblGrid>
      <w:tr w:rsidR="00081D27" w14:paraId="0D4796B5" w14:textId="77777777"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F6F119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Ambiente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8C0D58" w14:textId="60265371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Base URL API </w:t>
            </w:r>
            <w:r w:rsidR="00EF2849">
              <w:rPr>
                <w:b/>
                <w:bCs/>
                <w:color w:val="FFFFFF"/>
                <w:sz w:val="20"/>
                <w:szCs w:val="20"/>
              </w:rPr>
              <w:t>UBIQS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EE8CAD3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Conecta a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B9E30A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Propósito</w:t>
            </w:r>
          </w:p>
        </w:tc>
      </w:tr>
      <w:tr w:rsidR="00081D27" w14:paraId="45335029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6D4758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Integración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56A72E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https://api-staging.boostaiagency.com/cyberpro/v1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5849A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apiintegracion.grupoins.com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0D8EFE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Desarrollo y pruebas</w:t>
            </w:r>
          </w:p>
        </w:tc>
      </w:tr>
      <w:tr w:rsidR="00081D27" w14:paraId="312D97BB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96FCF9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Producción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73D29F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https://api.boostaiagency.com/cyberpro/v1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63E26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apiproduccion.grupoins.com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F12538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Operación en vivo</w:t>
            </w:r>
          </w:p>
        </w:tc>
      </w:tr>
    </w:tbl>
    <w:p w14:paraId="3D22B83A" w14:textId="77777777" w:rsidR="00081D27" w:rsidRDefault="00081D27">
      <w:pPr>
        <w:spacing w:before="200"/>
      </w:pPr>
    </w:p>
    <w:p w14:paraId="780253FF" w14:textId="1C9992C1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2. Conexión Real</w:t>
      </w:r>
    </w:p>
    <w:p w14:paraId="0C5D500E" w14:textId="77777777" w:rsidR="00081D27" w:rsidRDefault="00000000">
      <w:pPr>
        <w:spacing w:after="200"/>
      </w:pPr>
      <w:r>
        <w:t>El ambiente de integración conecta directamente a la API real de pruebas del INS (apiintegracion.grupoins.com). No se utiliza ningún servicio simulado (</w:t>
      </w:r>
      <w:proofErr w:type="spellStart"/>
      <w:r>
        <w:t>mock</w:t>
      </w:r>
      <w:proofErr w:type="spellEnd"/>
      <w:r>
        <w:t>). Las cotizaciones, emisiones y pagos se procesan contra el entorno real de pruebas del INS con tarjetas de prueba oficiales.</w:t>
      </w:r>
    </w:p>
    <w:p w14:paraId="72D4EAA5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3. Modelo de Seguridad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5760"/>
      </w:tblGrid>
      <w:tr w:rsidR="00081D27" w14:paraId="5766B059" w14:textId="77777777"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3AB9AB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Capa de Seguridad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F1CD89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Detalle</w:t>
            </w:r>
          </w:p>
        </w:tc>
      </w:tr>
      <w:tr w:rsidR="00081D27" w14:paraId="22247A81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882D4A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Protocolo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3E1E7E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HTTPS (TLS 1.2+)</w:t>
            </w:r>
          </w:p>
        </w:tc>
      </w:tr>
      <w:tr w:rsidR="00081D27" w14:paraId="75F281E5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C7C5936" w14:textId="18A41D45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Auth Mutual Seguros → </w:t>
            </w:r>
            <w:r w:rsidR="00EF2849">
              <w:rPr>
                <w:color w:val="000000"/>
                <w:sz w:val="20"/>
                <w:szCs w:val="20"/>
              </w:rPr>
              <w:t>UBIQS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776F37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x-api-</w:t>
            </w:r>
            <w:proofErr w:type="spellStart"/>
            <w:r>
              <w:rPr>
                <w:color w:val="000000"/>
                <w:sz w:val="20"/>
                <w:szCs w:val="20"/>
              </w:rPr>
              <w:t>key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(por canal)</w:t>
            </w:r>
          </w:p>
        </w:tc>
      </w:tr>
      <w:tr w:rsidR="00081D27" w:rsidRPr="00D36905" w14:paraId="508D29FD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6E2433" w14:textId="025737A6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Auth </w:t>
            </w:r>
            <w:r w:rsidR="00EF2849">
              <w:rPr>
                <w:color w:val="000000"/>
                <w:sz w:val="20"/>
                <w:szCs w:val="20"/>
              </w:rPr>
              <w:t>UBIQS</w:t>
            </w:r>
            <w:r>
              <w:rPr>
                <w:color w:val="000000"/>
                <w:sz w:val="20"/>
                <w:szCs w:val="20"/>
              </w:rPr>
              <w:t xml:space="preserve"> → INS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36FBC06" w14:textId="77777777" w:rsidR="00081D27" w:rsidRPr="00C42B09" w:rsidRDefault="00000000">
            <w:pPr>
              <w:spacing w:after="40"/>
              <w:rPr>
                <w:lang w:val="en-US"/>
              </w:rPr>
            </w:pPr>
            <w:r w:rsidRPr="00C42B09">
              <w:rPr>
                <w:color w:val="000000"/>
                <w:sz w:val="20"/>
                <w:szCs w:val="20"/>
                <w:lang w:val="en-US"/>
              </w:rPr>
              <w:t xml:space="preserve">OAuth2 </w:t>
            </w:r>
            <w:proofErr w:type="spellStart"/>
            <w:r w:rsidRPr="00C42B09">
              <w:rPr>
                <w:color w:val="000000"/>
                <w:sz w:val="20"/>
                <w:szCs w:val="20"/>
                <w:lang w:val="en-US"/>
              </w:rPr>
              <w:t>client_credentials</w:t>
            </w:r>
            <w:proofErr w:type="spellEnd"/>
            <w:r w:rsidRPr="00C42B09">
              <w:rPr>
                <w:color w:val="000000"/>
                <w:sz w:val="20"/>
                <w:szCs w:val="20"/>
                <w:lang w:val="en-US"/>
              </w:rPr>
              <w:t xml:space="preserve"> + subscription-key (</w:t>
            </w:r>
            <w:proofErr w:type="spellStart"/>
            <w:r w:rsidRPr="00C42B09">
              <w:rPr>
                <w:color w:val="000000"/>
                <w:sz w:val="20"/>
                <w:szCs w:val="20"/>
                <w:lang w:val="en-US"/>
              </w:rPr>
              <w:t>interno</w:t>
            </w:r>
            <w:proofErr w:type="spellEnd"/>
            <w:r w:rsidRPr="00C42B09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081D27" w14:paraId="65AEB0CD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90B9C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Cifrado tarjetas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33221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RSA PKCS1 v1.5 (2048-bit)</w:t>
            </w:r>
          </w:p>
        </w:tc>
      </w:tr>
      <w:tr w:rsidR="00081D27" w14:paraId="2E6282AB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C1A560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VPN requerido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F24C3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081D27" w14:paraId="751F49AF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3BA5CD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IP </w:t>
            </w:r>
            <w:proofErr w:type="spellStart"/>
            <w:r>
              <w:rPr>
                <w:color w:val="000000"/>
                <w:sz w:val="20"/>
                <w:szCs w:val="20"/>
              </w:rPr>
              <w:t>Whitelisting</w:t>
            </w:r>
            <w:proofErr w:type="spellEnd"/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546E7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Disponible bajo solicitud</w:t>
            </w:r>
          </w:p>
        </w:tc>
      </w:tr>
    </w:tbl>
    <w:p w14:paraId="4C5AB915" w14:textId="77777777" w:rsidR="00081D27" w:rsidRDefault="00081D27">
      <w:pPr>
        <w:spacing w:before="200"/>
      </w:pPr>
    </w:p>
    <w:p w14:paraId="4F7B33DE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4. Evidencia de Validación</w:t>
      </w:r>
    </w:p>
    <w:p w14:paraId="4481B24D" w14:textId="77777777" w:rsidR="00081D27" w:rsidRDefault="00000000">
      <w:pPr>
        <w:spacing w:after="120"/>
      </w:pPr>
      <w:r>
        <w:rPr>
          <w:b/>
          <w:bCs/>
        </w:rPr>
        <w:t>Fase 1 — Cotización y Emisión:</w:t>
      </w:r>
    </w:p>
    <w:p w14:paraId="3EA207F8" w14:textId="77777777" w:rsidR="00081D27" w:rsidRDefault="00000000" w:rsidP="00C42B09">
      <w:pPr>
        <w:pStyle w:val="Prrafodelista"/>
        <w:numPr>
          <w:ilvl w:val="0"/>
          <w:numId w:val="5"/>
        </w:numPr>
        <w:spacing w:after="60"/>
      </w:pPr>
      <w:r>
        <w:t>COTI CRC y USD (4 planes cada uno): PASS</w:t>
      </w:r>
    </w:p>
    <w:p w14:paraId="69188052" w14:textId="77777777" w:rsidR="00081D27" w:rsidRDefault="00000000" w:rsidP="00C42B09">
      <w:pPr>
        <w:pStyle w:val="Prrafodelista"/>
        <w:numPr>
          <w:ilvl w:val="0"/>
          <w:numId w:val="5"/>
        </w:numPr>
        <w:spacing w:after="60"/>
      </w:pPr>
      <w:r>
        <w:t>EMI sin consentimiento → CONSENT_REQUIRED: PASS</w:t>
      </w:r>
    </w:p>
    <w:p w14:paraId="6BFFB1B6" w14:textId="77777777" w:rsidR="00081D27" w:rsidRDefault="00000000" w:rsidP="00C42B09">
      <w:pPr>
        <w:pStyle w:val="Prrafodelista"/>
        <w:numPr>
          <w:ilvl w:val="0"/>
          <w:numId w:val="5"/>
        </w:numPr>
        <w:spacing w:after="60"/>
      </w:pPr>
      <w:r>
        <w:t>EMI con consentimiento → póliza emitida: PASS</w:t>
      </w:r>
    </w:p>
    <w:p w14:paraId="4B5190D9" w14:textId="77777777" w:rsidR="00081D27" w:rsidRDefault="00000000" w:rsidP="00C42B09">
      <w:pPr>
        <w:pStyle w:val="Prrafodelista"/>
        <w:numPr>
          <w:ilvl w:val="0"/>
          <w:numId w:val="5"/>
        </w:numPr>
        <w:spacing w:after="60"/>
      </w:pPr>
      <w:r>
        <w:t>7 tipos de error manejados correctamente: PASS</w:t>
      </w:r>
    </w:p>
    <w:p w14:paraId="132EA6E2" w14:textId="77777777" w:rsidR="00081D27" w:rsidRDefault="00081D27">
      <w:pPr>
        <w:spacing w:before="100"/>
      </w:pPr>
    </w:p>
    <w:p w14:paraId="7FC4DB9A" w14:textId="77777777" w:rsidR="00081D27" w:rsidRDefault="00000000">
      <w:pPr>
        <w:spacing w:after="120"/>
      </w:pPr>
      <w:r>
        <w:rPr>
          <w:b/>
          <w:bCs/>
        </w:rPr>
        <w:t>Fase 2 — Pagos y Deudas:</w:t>
      </w:r>
    </w:p>
    <w:p w14:paraId="3E29A94B" w14:textId="77777777" w:rsidR="00081D27" w:rsidRDefault="00000000" w:rsidP="00C42B09">
      <w:pPr>
        <w:pStyle w:val="Prrafodelista"/>
        <w:numPr>
          <w:ilvl w:val="0"/>
          <w:numId w:val="6"/>
        </w:numPr>
        <w:spacing w:after="60"/>
      </w:pPr>
      <w:r>
        <w:t>7 tarjetas de prueba INS (PAGO): 7/7 PASS (2026-04-07)</w:t>
      </w:r>
    </w:p>
    <w:p w14:paraId="5F506FF2" w14:textId="77777777" w:rsidR="00081D27" w:rsidRDefault="00000000" w:rsidP="00C42B09">
      <w:pPr>
        <w:pStyle w:val="Prrafodelista"/>
        <w:numPr>
          <w:ilvl w:val="0"/>
          <w:numId w:val="6"/>
        </w:numPr>
        <w:spacing w:after="60"/>
      </w:pPr>
      <w:r>
        <w:t>Cadena completa COTI → EMI → PAGO → DEUDA_APLICAR → DEUDA_ESTADO: 5/5 PASS (2026-04-08)</w:t>
      </w:r>
    </w:p>
    <w:p w14:paraId="2BE37E9E" w14:textId="77777777" w:rsidR="00081D27" w:rsidRDefault="00081D27">
      <w:pPr>
        <w:spacing w:before="100"/>
      </w:pPr>
    </w:p>
    <w:p w14:paraId="517D35DC" w14:textId="77777777" w:rsidR="00081D27" w:rsidRDefault="00000000">
      <w:pPr>
        <w:spacing w:after="120"/>
      </w:pPr>
      <w:r>
        <w:rPr>
          <w:color w:val="666666"/>
        </w:rPr>
        <w:t>Póliza de prueba emitida: 0121SRC000393000, vigencia 08/04/2026 – 08/04/2027, prima anual CRC 21,326.</w:t>
      </w:r>
    </w:p>
    <w:p w14:paraId="4B88172E" w14:textId="77777777" w:rsidR="00081D27" w:rsidRDefault="00000000">
      <w:r>
        <w:br w:type="page"/>
      </w:r>
    </w:p>
    <w:p w14:paraId="3EEE2CE2" w14:textId="77777777" w:rsidR="00081D27" w:rsidRDefault="00081D27">
      <w:pPr>
        <w:sectPr w:rsidR="00081D27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523CA687" w14:textId="1494E268" w:rsidR="00081D27" w:rsidRDefault="00C42B09">
      <w:pPr>
        <w:pStyle w:val="Ttulo1"/>
        <w:spacing w:after="120"/>
      </w:pPr>
      <w:r>
        <w:rPr>
          <w:rFonts w:ascii="Segoe UI Emoji" w:hAnsi="Segoe UI Emoji" w:cs="Segoe UI Emoji"/>
          <w:b/>
          <w:bCs/>
          <w:color w:val="2B579A"/>
        </w:rPr>
        <w:lastRenderedPageBreak/>
        <w:t xml:space="preserve">📋 </w:t>
      </w:r>
      <w:r>
        <w:rPr>
          <w:b/>
          <w:bCs/>
          <w:color w:val="2B579A"/>
        </w:rPr>
        <w:t>Documento 3: Suite de Operaciones</w:t>
      </w:r>
    </w:p>
    <w:p w14:paraId="7BCD6D5E" w14:textId="77777777" w:rsidR="00081D27" w:rsidRDefault="00081D27">
      <w:pPr>
        <w:spacing w:before="200"/>
      </w:pPr>
    </w:p>
    <w:p w14:paraId="12E9B7AC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1. Registro de Auditoría</w:t>
      </w:r>
    </w:p>
    <w:p w14:paraId="2B37F32A" w14:textId="77777777" w:rsidR="00081D27" w:rsidRDefault="00000000">
      <w:pPr>
        <w:spacing w:after="120"/>
      </w:pPr>
      <w:r>
        <w:t xml:space="preserve">Cada transacción se registra automáticamente con: </w:t>
      </w:r>
      <w:proofErr w:type="spellStart"/>
      <w:r>
        <w:t>requestId</w:t>
      </w:r>
      <w:proofErr w:type="spellEnd"/>
      <w:r>
        <w:t xml:space="preserve">, </w:t>
      </w:r>
      <w:proofErr w:type="spellStart"/>
      <w:r>
        <w:t>timestamp</w:t>
      </w:r>
      <w:proofErr w:type="spellEnd"/>
      <w:r>
        <w:t xml:space="preserve">, </w:t>
      </w:r>
      <w:proofErr w:type="spellStart"/>
      <w:r>
        <w:t>action</w:t>
      </w:r>
      <w:proofErr w:type="spellEnd"/>
      <w:r>
        <w:t xml:space="preserve">, </w:t>
      </w:r>
      <w:proofErr w:type="spellStart"/>
      <w:r>
        <w:t>currency</w:t>
      </w:r>
      <w:proofErr w:type="spellEnd"/>
      <w:r>
        <w:t xml:space="preserve">, plan, resultado, </w:t>
      </w:r>
      <w:proofErr w:type="spellStart"/>
      <w:r>
        <w:t>tiempoRespuesta</w:t>
      </w:r>
      <w:proofErr w:type="spellEnd"/>
      <w:r>
        <w:t>. Las emisiones incluyen datos de consentimiento y número de póliza. Los pagos incluyen consecutivo, autorización y estado.</w:t>
      </w:r>
    </w:p>
    <w:p w14:paraId="1C785625" w14:textId="77777777" w:rsidR="00081D27" w:rsidRDefault="00081D27">
      <w:pPr>
        <w:spacing w:before="100"/>
      </w:pPr>
    </w:p>
    <w:p w14:paraId="4F8D92A5" w14:textId="77777777" w:rsidR="00081D27" w:rsidRDefault="00000000">
      <w:pPr>
        <w:spacing w:after="120"/>
      </w:pPr>
      <w:r>
        <w:rPr>
          <w:b/>
          <w:bCs/>
        </w:rPr>
        <w:t>Protección de datos:</w:t>
      </w:r>
    </w:p>
    <w:p w14:paraId="053FAF8B" w14:textId="77777777" w:rsidR="00081D27" w:rsidRDefault="00000000" w:rsidP="00C42B09">
      <w:pPr>
        <w:pStyle w:val="Prrafodelista"/>
        <w:numPr>
          <w:ilvl w:val="0"/>
          <w:numId w:val="4"/>
        </w:numPr>
        <w:spacing w:after="60"/>
      </w:pPr>
      <w:r>
        <w:t xml:space="preserve">Números de identificación </w:t>
      </w:r>
      <w:proofErr w:type="spellStart"/>
      <w:r>
        <w:t>hasheados</w:t>
      </w:r>
      <w:proofErr w:type="spellEnd"/>
      <w:r>
        <w:t xml:space="preserve"> cuando la política lo permite</w:t>
      </w:r>
    </w:p>
    <w:p w14:paraId="773E14AD" w14:textId="77777777" w:rsidR="00081D27" w:rsidRDefault="00000000" w:rsidP="00C42B09">
      <w:pPr>
        <w:pStyle w:val="Prrafodelista"/>
        <w:numPr>
          <w:ilvl w:val="0"/>
          <w:numId w:val="4"/>
        </w:numPr>
        <w:spacing w:after="60"/>
      </w:pPr>
      <w:r>
        <w:t>Nunca se almacenan datos de tarjeta (PAN, CVV)</w:t>
      </w:r>
    </w:p>
    <w:p w14:paraId="23AC1EFF" w14:textId="77777777" w:rsidR="00081D27" w:rsidRDefault="00000000" w:rsidP="00C42B09">
      <w:pPr>
        <w:pStyle w:val="Prrafodelista"/>
        <w:numPr>
          <w:ilvl w:val="0"/>
          <w:numId w:val="4"/>
        </w:numPr>
        <w:spacing w:after="60"/>
      </w:pPr>
      <w:r>
        <w:t>Retención configurable (default: 365 días)</w:t>
      </w:r>
    </w:p>
    <w:p w14:paraId="1D2DD0B7" w14:textId="77777777" w:rsidR="00081D27" w:rsidRDefault="00081D27">
      <w:pPr>
        <w:spacing w:before="200"/>
      </w:pPr>
    </w:p>
    <w:p w14:paraId="01ACB92D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2. Monitoreo de SLA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680"/>
        <w:gridCol w:w="2061"/>
        <w:gridCol w:w="1808"/>
      </w:tblGrid>
      <w:tr w:rsidR="00081D27" w14:paraId="108BE8C0" w14:textId="77777777"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48ABC4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Operación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F275CB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SLA Tiempo Medio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9DB354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SLA p95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F57B67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Estado</w:t>
            </w:r>
          </w:p>
        </w:tc>
      </w:tr>
      <w:tr w:rsidR="00081D27" w14:paraId="6D6D3F79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6CC86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Cotización (COTI)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519355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&lt; 6 segundos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8DCAE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&lt; 12 segundos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0AE6533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Cumpliendo</w:t>
            </w:r>
          </w:p>
        </w:tc>
      </w:tr>
      <w:tr w:rsidR="00081D27" w14:paraId="488E06DA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328FF2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Emisión (EMI)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D1D1FD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&lt; 8 segundos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71A7AE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&lt; 15 segundos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3AB71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Cumpliendo</w:t>
            </w:r>
          </w:p>
        </w:tc>
      </w:tr>
    </w:tbl>
    <w:p w14:paraId="0BA9C6D2" w14:textId="77777777" w:rsidR="00081D27" w:rsidRDefault="00081D27">
      <w:pPr>
        <w:spacing w:before="200"/>
      </w:pPr>
    </w:p>
    <w:p w14:paraId="0B3D0FCE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3. Alertas Automáticas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1"/>
        <w:gridCol w:w="3895"/>
      </w:tblGrid>
      <w:tr w:rsidR="00081D27" w14:paraId="00663177" w14:textId="77777777"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93F713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Condición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7A784F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Acción</w:t>
            </w:r>
          </w:p>
        </w:tc>
      </w:tr>
      <w:tr w:rsidR="00081D27" w14:paraId="0AC6064F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44FA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p95 COTI &gt; 12s durante 5 min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DEFFCE7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Alerta a equipo de soporte</w:t>
            </w:r>
          </w:p>
        </w:tc>
      </w:tr>
      <w:tr w:rsidR="00081D27" w14:paraId="60038548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ECB6C0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p95 EMI &gt; 15s durante 5 min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2BCA7A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Alerta a equipo de soporte</w:t>
            </w:r>
          </w:p>
        </w:tc>
      </w:tr>
      <w:tr w:rsidR="00081D27" w14:paraId="00C28B73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1D08A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Tasa de error &gt; 10% durante 10 min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E0CA6D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Alerta a equipo de soporte</w:t>
            </w:r>
          </w:p>
        </w:tc>
      </w:tr>
      <w:tr w:rsidR="00081D27" w14:paraId="31818A77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26C68B5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INS API no disponible &gt; 2 min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F9CED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Alerta inmediata</w:t>
            </w:r>
          </w:p>
        </w:tc>
      </w:tr>
      <w:tr w:rsidR="00081D27" w14:paraId="78F05B20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A9C814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Fallo renovación token OAuth2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6D80BA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Alerta inmediata</w:t>
            </w:r>
          </w:p>
        </w:tc>
      </w:tr>
    </w:tbl>
    <w:p w14:paraId="37E4C8B2" w14:textId="77777777" w:rsidR="00081D27" w:rsidRDefault="00081D27">
      <w:pPr>
        <w:spacing w:before="200"/>
      </w:pPr>
    </w:p>
    <w:p w14:paraId="5EF4280F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4. Consulta de Operaciones</w:t>
      </w:r>
    </w:p>
    <w:p w14:paraId="57B1A7A8" w14:textId="77777777" w:rsidR="00081D27" w:rsidRDefault="00000000">
      <w:pPr>
        <w:spacing w:after="120"/>
      </w:pPr>
      <w:r>
        <w:t xml:space="preserve">Las transacciones pueden consultarse por: </w:t>
      </w:r>
      <w:proofErr w:type="spellStart"/>
      <w:r>
        <w:t>requestId</w:t>
      </w:r>
      <w:proofErr w:type="spellEnd"/>
      <w:r>
        <w:t>, rango de fechas, tipo de acción, estado, o número de póliza. La plataforma permite rastrear cadenas completas (COTI → EMI → PAGO → DEUDA).</w:t>
      </w:r>
    </w:p>
    <w:p w14:paraId="5579BA90" w14:textId="77777777" w:rsidR="00081D27" w:rsidRDefault="00081D27">
      <w:pPr>
        <w:spacing w:before="200"/>
      </w:pPr>
    </w:p>
    <w:p w14:paraId="39F6FAAF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5. Gestión de Tokens OAuth2</w:t>
      </w:r>
    </w:p>
    <w:p w14:paraId="52FBD348" w14:textId="77777777" w:rsidR="00081D27" w:rsidRDefault="00000000">
      <w:pPr>
        <w:spacing w:after="120"/>
      </w:pPr>
      <w:r>
        <w:t xml:space="preserve">La autenticación con el INS se gestiona automáticamente: renovación </w:t>
      </w:r>
      <w:proofErr w:type="spellStart"/>
      <w:r>
        <w:t>pre-expiración</w:t>
      </w:r>
      <w:proofErr w:type="spellEnd"/>
      <w:r>
        <w:t xml:space="preserve"> basada en </w:t>
      </w:r>
      <w:proofErr w:type="spellStart"/>
      <w:r>
        <w:t>expires_in</w:t>
      </w:r>
      <w:proofErr w:type="spellEnd"/>
      <w:r>
        <w:t xml:space="preserve">, manejo de 401 con </w:t>
      </w:r>
      <w:proofErr w:type="spellStart"/>
      <w:r>
        <w:t>refresh</w:t>
      </w:r>
      <w:proofErr w:type="spellEnd"/>
      <w:r>
        <w:t xml:space="preserve"> forzado + 1 reintento, y transparencia total para Mutual Seguros (no necesitan gestionar tokens).</w:t>
      </w:r>
    </w:p>
    <w:p w14:paraId="21E5447B" w14:textId="77777777" w:rsidR="00081D27" w:rsidRDefault="00081D27">
      <w:pPr>
        <w:spacing w:before="300"/>
      </w:pPr>
    </w:p>
    <w:p w14:paraId="17FC0B3C" w14:textId="77777777" w:rsidR="00EF2849" w:rsidRDefault="00EF2849">
      <w:pPr>
        <w:rPr>
          <w:b/>
          <w:bCs/>
          <w:color w:val="2B579A"/>
          <w:sz w:val="26"/>
          <w:szCs w:val="26"/>
        </w:rPr>
      </w:pPr>
      <w:r>
        <w:rPr>
          <w:b/>
          <w:bCs/>
          <w:color w:val="2B579A"/>
        </w:rPr>
        <w:br w:type="page"/>
      </w:r>
    </w:p>
    <w:p w14:paraId="7380D58F" w14:textId="4A9FC47D" w:rsidR="00081D27" w:rsidRDefault="00000000">
      <w:pPr>
        <w:pStyle w:val="Ttulo2"/>
        <w:spacing w:after="120"/>
      </w:pPr>
      <w:r>
        <w:rPr>
          <w:b/>
          <w:bCs/>
          <w:color w:val="2B579A"/>
        </w:rPr>
        <w:lastRenderedPageBreak/>
        <w:t xml:space="preserve">▸ 6. </w:t>
      </w:r>
      <w:proofErr w:type="spellStart"/>
      <w:r>
        <w:rPr>
          <w:b/>
          <w:bCs/>
          <w:color w:val="2B579A"/>
        </w:rPr>
        <w:t>Dashboard</w:t>
      </w:r>
      <w:proofErr w:type="spellEnd"/>
      <w:r>
        <w:rPr>
          <w:b/>
          <w:bCs/>
          <w:color w:val="2B579A"/>
        </w:rPr>
        <w:t xml:space="preserve"> Operacional</w:t>
      </w:r>
    </w:p>
    <w:p w14:paraId="308DB59A" w14:textId="59CDD89D" w:rsidR="00081D27" w:rsidRDefault="00000000">
      <w:pPr>
        <w:spacing w:after="160"/>
      </w:pPr>
      <w:r>
        <w:t>La plataforma cuenta</w:t>
      </w:r>
      <w:r w:rsidR="00FF1B6D">
        <w:t xml:space="preserve"> actualmente</w:t>
      </w:r>
      <w:r>
        <w:t xml:space="preserve"> con un panel web ya desplegado que permite visualizar en tiempo real el funcionamiento de la integración y la actividad generada por los agentes de IA. El </w:t>
      </w:r>
      <w:proofErr w:type="spellStart"/>
      <w:r>
        <w:t>dashboard</w:t>
      </w:r>
      <w:proofErr w:type="spellEnd"/>
      <w:r>
        <w:t xml:space="preserve"> está disponible desde el día 1 de la integración y no requiere desarrollo adicional.</w:t>
      </w:r>
    </w:p>
    <w:p w14:paraId="477CA917" w14:textId="77777777" w:rsidR="00081D27" w:rsidRDefault="00000000">
      <w:pPr>
        <w:spacing w:after="120"/>
      </w:pPr>
      <w:r>
        <w:rPr>
          <w:b/>
          <w:bCs/>
        </w:rPr>
        <w:t>Vistas disponibles: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6357"/>
      </w:tblGrid>
      <w:tr w:rsidR="00081D27" w14:paraId="252CDE1E" w14:textId="77777777"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6FB086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Vista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D3BE01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Contenido</w:t>
            </w:r>
          </w:p>
        </w:tc>
      </w:tr>
      <w:tr w:rsidR="00081D27" w14:paraId="65475E22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551EFC0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Historial de transacciones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67843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COTI, EMI, PAGO, DEUDA con filtros por fecha, canal, estado, póliza</w:t>
            </w:r>
          </w:p>
        </w:tc>
      </w:tr>
      <w:tr w:rsidR="00081D27" w14:paraId="412FBA94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F334CF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Detalle de transacción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3DF011" w14:textId="77777777" w:rsidR="00081D27" w:rsidRDefault="00000000">
            <w:pPr>
              <w:spacing w:after="40"/>
            </w:pPr>
            <w:proofErr w:type="spellStart"/>
            <w:r>
              <w:rPr>
                <w:color w:val="000000"/>
                <w:sz w:val="20"/>
                <w:szCs w:val="20"/>
              </w:rPr>
              <w:t>Request</w:t>
            </w:r>
            <w:proofErr w:type="spellEnd"/>
            <w:r>
              <w:rPr>
                <w:color w:val="000000"/>
                <w:sz w:val="20"/>
                <w:szCs w:val="20"/>
              </w:rPr>
              <w:t>, response, latencias, cadena de correlación</w:t>
            </w:r>
          </w:p>
        </w:tc>
      </w:tr>
      <w:tr w:rsidR="00081D27" w14:paraId="56599685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15AA1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Monitoreo de conversaciones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B0487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Interacciones con agentes de IA (voz, chat, WhatsApp)</w:t>
            </w:r>
          </w:p>
        </w:tc>
      </w:tr>
      <w:tr w:rsidR="00081D27" w14:paraId="3B647CEB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5F0403C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Telemetría en vivo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DD286C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Latencias p50/p95/p99, tasa de éxito, tokens OAuth2</w:t>
            </w:r>
          </w:p>
        </w:tc>
      </w:tr>
      <w:tr w:rsidR="00081D27" w14:paraId="0FF3A26E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191A5E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Analítica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153733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Volumen, conversión COTI → EMI, distribución por plan/moneda/canal</w:t>
            </w:r>
          </w:p>
        </w:tc>
      </w:tr>
      <w:tr w:rsidR="00081D27" w14:paraId="4ADC2371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0AB1607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Inferencia de IA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78C9A3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Decisiones del agente, intenciones, herramientas invocadas, tiempos LLM</w:t>
            </w:r>
          </w:p>
        </w:tc>
      </w:tr>
      <w:tr w:rsidR="00081D27" w14:paraId="43DDDA0D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A488CD9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Gestión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506920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Configuración de alertas, auditoría, exportación de reportes</w:t>
            </w:r>
          </w:p>
        </w:tc>
      </w:tr>
    </w:tbl>
    <w:p w14:paraId="3102EE01" w14:textId="77777777" w:rsidR="00081D27" w:rsidRDefault="00081D27">
      <w:pPr>
        <w:spacing w:before="120"/>
      </w:pPr>
    </w:p>
    <w:p w14:paraId="58716890" w14:textId="77777777" w:rsidR="00081D27" w:rsidRDefault="00000000">
      <w:pPr>
        <w:spacing w:after="120"/>
      </w:pPr>
      <w:r>
        <w:rPr>
          <w:color w:val="666666"/>
        </w:rPr>
        <w:t xml:space="preserve">Acceso: URL segura con autenticación por usuario. Roles de lectura (operaciones, BI) y administrador. Exportación directa a CSV / Excel. Actualización </w:t>
      </w:r>
      <w:proofErr w:type="spellStart"/>
      <w:r>
        <w:rPr>
          <w:color w:val="666666"/>
        </w:rPr>
        <w:t>cuasi-real</w:t>
      </w:r>
      <w:proofErr w:type="spellEnd"/>
      <w:r>
        <w:rPr>
          <w:color w:val="666666"/>
        </w:rPr>
        <w:t xml:space="preserve"> (&lt; 30 segundos).</w:t>
      </w:r>
    </w:p>
    <w:p w14:paraId="11C5521A" w14:textId="77777777" w:rsidR="00081D27" w:rsidRDefault="00000000">
      <w:r>
        <w:br w:type="page"/>
      </w:r>
    </w:p>
    <w:p w14:paraId="59EB779A" w14:textId="77777777" w:rsidR="00081D27" w:rsidRDefault="00081D27">
      <w:pPr>
        <w:sectPr w:rsidR="00081D27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395825B7" w14:textId="5C5105D9" w:rsidR="00081D27" w:rsidRDefault="00C42B09">
      <w:pPr>
        <w:pStyle w:val="Ttulo1"/>
        <w:spacing w:after="120"/>
      </w:pPr>
      <w:r>
        <w:rPr>
          <w:rFonts w:ascii="Segoe UI Emoji" w:hAnsi="Segoe UI Emoji" w:cs="Segoe UI Emoji"/>
          <w:b/>
          <w:bCs/>
          <w:color w:val="2B579A"/>
        </w:rPr>
        <w:lastRenderedPageBreak/>
        <w:t xml:space="preserve">📋 </w:t>
      </w:r>
      <w:r>
        <w:rPr>
          <w:b/>
          <w:bCs/>
          <w:color w:val="2B579A"/>
        </w:rPr>
        <w:t xml:space="preserve">Documento 4: Acceso a Datos para </w:t>
      </w:r>
      <w:proofErr w:type="gramStart"/>
      <w:r>
        <w:rPr>
          <w:b/>
          <w:bCs/>
          <w:color w:val="2B579A"/>
        </w:rPr>
        <w:t xml:space="preserve">Business </w:t>
      </w:r>
      <w:proofErr w:type="spellStart"/>
      <w:r>
        <w:rPr>
          <w:b/>
          <w:bCs/>
          <w:color w:val="2B579A"/>
        </w:rPr>
        <w:t>Intelligence</w:t>
      </w:r>
      <w:proofErr w:type="spellEnd"/>
      <w:proofErr w:type="gramEnd"/>
    </w:p>
    <w:p w14:paraId="05AB9DFF" w14:textId="77777777" w:rsidR="00081D27" w:rsidRDefault="00081D27">
      <w:pPr>
        <w:spacing w:before="200"/>
      </w:pPr>
    </w:p>
    <w:p w14:paraId="23D9022D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1. Datos Disponibles por Transacción</w:t>
      </w:r>
    </w:p>
    <w:p w14:paraId="57353736" w14:textId="77777777" w:rsidR="00081D27" w:rsidRDefault="00000000">
      <w:pPr>
        <w:spacing w:after="120"/>
      </w:pPr>
      <w:r>
        <w:t xml:space="preserve">Cotizaciones: </w:t>
      </w:r>
      <w:proofErr w:type="spellStart"/>
      <w:r>
        <w:t>requestId</w:t>
      </w:r>
      <w:proofErr w:type="spellEnd"/>
      <w:r>
        <w:t xml:space="preserve">, </w:t>
      </w:r>
      <w:proofErr w:type="spellStart"/>
      <w:r>
        <w:t>timestamp</w:t>
      </w:r>
      <w:proofErr w:type="spellEnd"/>
      <w:r>
        <w:t xml:space="preserve">, </w:t>
      </w:r>
      <w:proofErr w:type="spellStart"/>
      <w:r>
        <w:t>currency</w:t>
      </w:r>
      <w:proofErr w:type="spellEnd"/>
      <w:r>
        <w:t xml:space="preserve">, plan, </w:t>
      </w:r>
      <w:proofErr w:type="spellStart"/>
      <w:r>
        <w:t>numeroCotizacion</w:t>
      </w:r>
      <w:proofErr w:type="spellEnd"/>
      <w:r>
        <w:t>, primas, coberturas, resultado, canal.</w:t>
      </w:r>
    </w:p>
    <w:p w14:paraId="2F93FBAB" w14:textId="77777777" w:rsidR="00081D27" w:rsidRDefault="00000000">
      <w:pPr>
        <w:spacing w:after="120"/>
      </w:pPr>
      <w:r>
        <w:t xml:space="preserve">Emisiones: todos los campos de cotización + </w:t>
      </w:r>
      <w:proofErr w:type="spellStart"/>
      <w:r>
        <w:t>numeroPoliza</w:t>
      </w:r>
      <w:proofErr w:type="spellEnd"/>
      <w:r>
        <w:t xml:space="preserve">, </w:t>
      </w:r>
      <w:proofErr w:type="spellStart"/>
      <w:r>
        <w:t>paymentFrequency</w:t>
      </w:r>
      <w:proofErr w:type="spellEnd"/>
      <w:r>
        <w:t xml:space="preserve">, vigencias, </w:t>
      </w:r>
      <w:proofErr w:type="spellStart"/>
      <w:r>
        <w:t>montoPrima</w:t>
      </w:r>
      <w:proofErr w:type="spellEnd"/>
      <w:r>
        <w:t xml:space="preserve">, </w:t>
      </w:r>
      <w:proofErr w:type="spellStart"/>
      <w:r>
        <w:t>consentTimestamp</w:t>
      </w:r>
      <w:proofErr w:type="spellEnd"/>
      <w:r>
        <w:t>.</w:t>
      </w:r>
    </w:p>
    <w:p w14:paraId="5B2A9BEC" w14:textId="77777777" w:rsidR="00081D27" w:rsidRDefault="00000000">
      <w:pPr>
        <w:spacing w:after="120"/>
      </w:pPr>
      <w:r>
        <w:t xml:space="preserve">Pagos: </w:t>
      </w:r>
      <w:proofErr w:type="spellStart"/>
      <w:r>
        <w:t>consecutivoPago</w:t>
      </w:r>
      <w:proofErr w:type="spellEnd"/>
      <w:r>
        <w:t xml:space="preserve">, monto, moneda, </w:t>
      </w:r>
      <w:proofErr w:type="spellStart"/>
      <w:r>
        <w:t>codEstado</w:t>
      </w:r>
      <w:proofErr w:type="spellEnd"/>
      <w:r>
        <w:t xml:space="preserve">, </w:t>
      </w:r>
      <w:proofErr w:type="spellStart"/>
      <w:r>
        <w:t>esAprobada</w:t>
      </w:r>
      <w:proofErr w:type="spellEnd"/>
      <w:r>
        <w:t xml:space="preserve">, </w:t>
      </w:r>
      <w:proofErr w:type="spellStart"/>
      <w:r>
        <w:t>numeroAutorizacion</w:t>
      </w:r>
      <w:proofErr w:type="spellEnd"/>
      <w:r>
        <w:t>.</w:t>
      </w:r>
    </w:p>
    <w:p w14:paraId="0CAC8D8C" w14:textId="77777777" w:rsidR="00081D27" w:rsidRDefault="00081D27">
      <w:pPr>
        <w:spacing w:before="100"/>
      </w:pPr>
    </w:p>
    <w:p w14:paraId="52BEDB0C" w14:textId="77777777" w:rsidR="00081D27" w:rsidRPr="00EF2849" w:rsidRDefault="00000000">
      <w:pPr>
        <w:spacing w:after="120"/>
        <w:rPr>
          <w:color w:val="C00000"/>
        </w:rPr>
      </w:pPr>
      <w:r w:rsidRPr="00EF2849">
        <w:rPr>
          <w:b/>
          <w:bCs/>
          <w:color w:val="C00000"/>
        </w:rPr>
        <w:t>Nota: No se almacenan números de tarjeta, CVV ni datos sensibles de pago.</w:t>
      </w:r>
    </w:p>
    <w:p w14:paraId="7EE6351F" w14:textId="77777777" w:rsidR="00081D27" w:rsidRDefault="00081D27">
      <w:pPr>
        <w:spacing w:before="200"/>
      </w:pPr>
    </w:p>
    <w:p w14:paraId="6090D754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2. Opciones de Acceso a Datos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3469"/>
        <w:gridCol w:w="1511"/>
        <w:gridCol w:w="2157"/>
      </w:tblGrid>
      <w:tr w:rsidR="00081D27" w14:paraId="6E92C170" w14:textId="77777777"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A18F1A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Opción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3FBAD43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32D4DB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E1CB684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Estado / Plazo</w:t>
            </w:r>
          </w:p>
        </w:tc>
      </w:tr>
      <w:tr w:rsidR="00081D27" w14:paraId="1FD457E2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13DD93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A: Exportaciones Programadas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281BDC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Reportes automáticos (diario/semanal/mensual)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C17708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CSV, JSON, Excel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00128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1-2 semanas</w:t>
            </w:r>
          </w:p>
        </w:tc>
      </w:tr>
      <w:tr w:rsidR="00081D27" w14:paraId="5ED34C3B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3C3678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B: API de Exportación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026A5F" w14:textId="77777777" w:rsidR="00081D27" w:rsidRDefault="00000000">
            <w:pPr>
              <w:spacing w:after="40"/>
            </w:pPr>
            <w:proofErr w:type="spellStart"/>
            <w:r>
              <w:rPr>
                <w:color w:val="000000"/>
                <w:sz w:val="20"/>
                <w:szCs w:val="20"/>
              </w:rPr>
              <w:t>Endpoint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REST para consulta programática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4B76AA5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JSON (paginado), CSV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831542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3-4 semanas</w:t>
            </w:r>
          </w:p>
        </w:tc>
      </w:tr>
      <w:tr w:rsidR="00081D27" w14:paraId="2EEFD196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2069A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C: </w:t>
            </w:r>
            <w:proofErr w:type="spellStart"/>
            <w:r>
              <w:rPr>
                <w:color w:val="000000"/>
                <w:sz w:val="20"/>
                <w:szCs w:val="20"/>
              </w:rPr>
              <w:t>Dashboard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Analítico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82B71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Panel web con historial, telemetría, analítica e inferencia de IA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B6AB79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 xml:space="preserve">Web + </w:t>
            </w:r>
            <w:proofErr w:type="spellStart"/>
            <w:r>
              <w:rPr>
                <w:color w:val="000000"/>
                <w:sz w:val="20"/>
                <w:szCs w:val="20"/>
              </w:rPr>
              <w:t>export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CSV/Excel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DD0AB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Disponible hoy (provisión de accesos: 2-3 días)</w:t>
            </w:r>
          </w:p>
        </w:tc>
      </w:tr>
    </w:tbl>
    <w:p w14:paraId="4148448E" w14:textId="77777777" w:rsidR="00081D27" w:rsidRDefault="00081D27">
      <w:pPr>
        <w:spacing w:before="100"/>
      </w:pPr>
    </w:p>
    <w:p w14:paraId="0C7AC5FE" w14:textId="77777777" w:rsidR="00081D27" w:rsidRDefault="00000000">
      <w:pPr>
        <w:spacing w:after="120"/>
      </w:pPr>
      <w:r>
        <w:rPr>
          <w:b/>
          <w:bCs/>
        </w:rPr>
        <w:t xml:space="preserve">Recomendación: Iniciar habilitando el </w:t>
      </w:r>
      <w:proofErr w:type="spellStart"/>
      <w:r>
        <w:rPr>
          <w:b/>
          <w:bCs/>
        </w:rPr>
        <w:t>dashboard</w:t>
      </w:r>
      <w:proofErr w:type="spellEnd"/>
      <w:r>
        <w:rPr>
          <w:b/>
          <w:bCs/>
        </w:rPr>
        <w:t xml:space="preserve"> existente (Opción C) para el equipo de BI. En paralelo, definir exportaciones programadas (Opción A) para los flujos que requieren ingesta automatizada a herramientas internas.</w:t>
      </w:r>
    </w:p>
    <w:p w14:paraId="5D0A62E9" w14:textId="77777777" w:rsidR="00081D27" w:rsidRDefault="00081D27">
      <w:pPr>
        <w:spacing w:before="200"/>
      </w:pPr>
    </w:p>
    <w:p w14:paraId="728162FA" w14:textId="77777777" w:rsidR="00081D27" w:rsidRDefault="00000000">
      <w:pPr>
        <w:pStyle w:val="Ttulo2"/>
        <w:spacing w:after="120"/>
      </w:pPr>
      <w:r>
        <w:rPr>
          <w:b/>
          <w:bCs/>
          <w:color w:val="2B579A"/>
        </w:rPr>
        <w:t>▸ 3. Métricas Clave Disponibles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3"/>
        <w:gridCol w:w="7353"/>
      </w:tblGrid>
      <w:tr w:rsidR="00081D27" w14:paraId="1AA17FEF" w14:textId="77777777"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BF04F5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Categoría</w:t>
            </w:r>
          </w:p>
        </w:tc>
        <w:tc>
          <w:tcPr>
            <w:tcW w:w="0" w:type="auto"/>
            <w:shd w:val="clear" w:color="FFFFFF" w:fill="2B579A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2E19D4" w14:textId="77777777" w:rsidR="00081D27" w:rsidRDefault="00000000">
            <w:pPr>
              <w:spacing w:after="40"/>
            </w:pPr>
            <w:r>
              <w:rPr>
                <w:b/>
                <w:bCs/>
                <w:color w:val="FFFFFF"/>
                <w:sz w:val="20"/>
                <w:szCs w:val="20"/>
              </w:rPr>
              <w:t>Métricas</w:t>
            </w:r>
          </w:p>
        </w:tc>
      </w:tr>
      <w:tr w:rsidR="00081D27" w14:paraId="473732A8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B5A3D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Volumen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35BE399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Transacciones por día/semana/mes, por tipo (COTI/EMI/PAGO)</w:t>
            </w:r>
          </w:p>
        </w:tc>
      </w:tr>
      <w:tr w:rsidR="00081D27" w14:paraId="603CA3E0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9F3B3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Conversión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AF5AD7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Ratio COTI → EMI, por canal</w:t>
            </w:r>
          </w:p>
        </w:tc>
      </w:tr>
      <w:tr w:rsidR="00081D27" w14:paraId="0552088C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67A3F1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Ingresos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0906AD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Volumen de primas por plan, moneda, frecuencia</w:t>
            </w:r>
          </w:p>
        </w:tc>
      </w:tr>
      <w:tr w:rsidR="00081D27" w14:paraId="4EFF88C5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1E9357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Geografía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073817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Transacciones por provincia, cantón, distrito</w:t>
            </w:r>
          </w:p>
        </w:tc>
      </w:tr>
      <w:tr w:rsidR="00081D27" w14:paraId="0F8DD65E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C2ED32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Canales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67FE26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Volumen y conversión por canal (</w:t>
            </w:r>
            <w:proofErr w:type="gramStart"/>
            <w:r>
              <w:rPr>
                <w:color w:val="000000"/>
                <w:sz w:val="20"/>
                <w:szCs w:val="20"/>
              </w:rPr>
              <w:t>app</w:t>
            </w:r>
            <w:proofErr w:type="gramEnd"/>
            <w:r>
              <w:rPr>
                <w:color w:val="000000"/>
                <w:sz w:val="20"/>
                <w:szCs w:val="20"/>
              </w:rPr>
              <w:t>, web, WhatsApp, voz)</w:t>
            </w:r>
          </w:p>
        </w:tc>
      </w:tr>
      <w:tr w:rsidR="00081D27" w14:paraId="230ECC61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65909D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Rendimiento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69C748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Tiempos promedio, cumplimiento SLA</w:t>
            </w:r>
          </w:p>
        </w:tc>
      </w:tr>
      <w:tr w:rsidR="00081D27" w14:paraId="2CA360E7" w14:textId="77777777"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C37A10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Errores</w:t>
            </w:r>
          </w:p>
        </w:tc>
        <w:tc>
          <w:tcPr>
            <w:tcW w:w="0" w:type="auto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2E5C9B" w14:textId="77777777" w:rsidR="00081D27" w:rsidRDefault="00000000">
            <w:pPr>
              <w:spacing w:after="40"/>
            </w:pPr>
            <w:r>
              <w:rPr>
                <w:color w:val="000000"/>
                <w:sz w:val="20"/>
                <w:szCs w:val="20"/>
              </w:rPr>
              <w:t>Tasa por tipo, tendencias, top causas de rechazo</w:t>
            </w:r>
          </w:p>
        </w:tc>
      </w:tr>
    </w:tbl>
    <w:p w14:paraId="12C95969" w14:textId="77777777" w:rsidR="00081D27" w:rsidRDefault="00081D27">
      <w:pPr>
        <w:spacing w:before="200"/>
      </w:pPr>
    </w:p>
    <w:p w14:paraId="5D0228FF" w14:textId="77777777" w:rsidR="00EF2849" w:rsidRDefault="00EF2849">
      <w:pPr>
        <w:rPr>
          <w:b/>
          <w:bCs/>
          <w:color w:val="2B579A"/>
          <w:sz w:val="26"/>
          <w:szCs w:val="26"/>
        </w:rPr>
      </w:pPr>
      <w:r>
        <w:rPr>
          <w:b/>
          <w:bCs/>
          <w:color w:val="2B579A"/>
        </w:rPr>
        <w:br w:type="page"/>
      </w:r>
    </w:p>
    <w:p w14:paraId="5177BC4D" w14:textId="352163E5" w:rsidR="00081D27" w:rsidRDefault="00000000">
      <w:pPr>
        <w:pStyle w:val="Ttulo2"/>
        <w:spacing w:after="120"/>
      </w:pPr>
      <w:r>
        <w:rPr>
          <w:b/>
          <w:bCs/>
          <w:color w:val="2B579A"/>
        </w:rPr>
        <w:lastRenderedPageBreak/>
        <w:t>▸ 4. Próximos Pasos</w:t>
      </w:r>
    </w:p>
    <w:p w14:paraId="797FC7C9" w14:textId="77777777" w:rsidR="00081D27" w:rsidRDefault="00000000" w:rsidP="00C42B09">
      <w:pPr>
        <w:pStyle w:val="Prrafodelista"/>
        <w:numPr>
          <w:ilvl w:val="0"/>
          <w:numId w:val="10"/>
        </w:numPr>
        <w:spacing w:after="60"/>
      </w:pPr>
      <w:r>
        <w:t>Definir requerimientos de BI: métricas prioritarias, frecuencia de actualización</w:t>
      </w:r>
    </w:p>
    <w:p w14:paraId="362066DA" w14:textId="503C51F7" w:rsidR="00081D27" w:rsidRDefault="00000000" w:rsidP="00C42B09">
      <w:pPr>
        <w:pStyle w:val="Prrafodelista"/>
        <w:numPr>
          <w:ilvl w:val="0"/>
          <w:numId w:val="10"/>
        </w:numPr>
        <w:spacing w:after="60"/>
      </w:pPr>
      <w:r>
        <w:t>Acordar formato y entrega: CSV/JSON, frecuencia, método (</w:t>
      </w:r>
      <w:r w:rsidR="00EF2849">
        <w:t>CDN</w:t>
      </w:r>
      <w:r>
        <w:t>, API)</w:t>
      </w:r>
    </w:p>
    <w:p w14:paraId="1416845A" w14:textId="77777777" w:rsidR="00081D27" w:rsidRDefault="00000000" w:rsidP="00C42B09">
      <w:pPr>
        <w:pStyle w:val="Prrafodelista"/>
        <w:numPr>
          <w:ilvl w:val="0"/>
          <w:numId w:val="10"/>
        </w:numPr>
        <w:spacing w:after="60"/>
      </w:pPr>
      <w:r>
        <w:t>Definir alcance de campos: datos específicos para el equipo de BI</w:t>
      </w:r>
    </w:p>
    <w:p w14:paraId="3EE02B4A" w14:textId="77777777" w:rsidR="00081D27" w:rsidRDefault="00000000" w:rsidP="00C42B09">
      <w:pPr>
        <w:pStyle w:val="Prrafodelista"/>
        <w:numPr>
          <w:ilvl w:val="0"/>
          <w:numId w:val="10"/>
        </w:numPr>
        <w:spacing w:after="60"/>
      </w:pPr>
      <w:r>
        <w:t>Sesión técnica: coordinar con equipo de BI de Mutual Seguros</w:t>
      </w:r>
    </w:p>
    <w:sectPr w:rsidR="00081D27"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A157" w14:textId="77777777" w:rsidR="007C1126" w:rsidRDefault="007C1126">
      <w:r>
        <w:separator/>
      </w:r>
    </w:p>
  </w:endnote>
  <w:endnote w:type="continuationSeparator" w:id="0">
    <w:p w14:paraId="2484E20B" w14:textId="77777777" w:rsidR="007C1126" w:rsidRDefault="007C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4947" w14:textId="5BCE5D25" w:rsidR="00EF2849" w:rsidRDefault="00EF2849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22C906" wp14:editId="3C9E5E67">
          <wp:simplePos x="0" y="0"/>
          <wp:positionH relativeFrom="margin">
            <wp:align>left</wp:align>
          </wp:positionH>
          <wp:positionV relativeFrom="paragraph">
            <wp:posOffset>-3810</wp:posOffset>
          </wp:positionV>
          <wp:extent cx="600075" cy="245223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biqs.png"/>
                  <pic:cNvPicPr/>
                </pic:nvPicPr>
                <pic:blipFill rotWithShape="1">
                  <a:blip r:embed="rId1"/>
                  <a:srcRect t="29648" b="29487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2452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E6D038C" wp14:editId="23C8C38D">
          <wp:simplePos x="0" y="0"/>
          <wp:positionH relativeFrom="margin">
            <wp:align>right</wp:align>
          </wp:positionH>
          <wp:positionV relativeFrom="paragraph">
            <wp:posOffset>53340</wp:posOffset>
          </wp:positionV>
          <wp:extent cx="1352550" cy="113500"/>
          <wp:effectExtent l="0" t="0" r="0" b="1270"/>
          <wp:wrapNone/>
          <wp:docPr id="11332467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246744" name="Imagen 11332467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1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AC9F" w14:textId="53C86CD1" w:rsidR="00081D27" w:rsidRPr="00F83808" w:rsidRDefault="00F83808">
    <w:pPr>
      <w:jc w:val="center"/>
      <w:rPr>
        <w:lang w:val="en-US"/>
      </w:rPr>
    </w:pPr>
    <w:r w:rsidRPr="00F83808">
      <w:rPr>
        <w:color w:val="999999"/>
        <w:sz w:val="16"/>
        <w:szCs w:val="16"/>
        <w:lang w:val="en-US"/>
      </w:rPr>
      <w:t>UBIQS Ins</w:t>
    </w:r>
    <w:r>
      <w:rPr>
        <w:color w:val="999999"/>
        <w:sz w:val="16"/>
        <w:szCs w:val="16"/>
        <w:lang w:val="en-US"/>
      </w:rPr>
      <w:t>urtech</w:t>
    </w:r>
    <w:r w:rsidRPr="00F83808">
      <w:rPr>
        <w:color w:val="999999"/>
        <w:sz w:val="16"/>
        <w:szCs w:val="16"/>
        <w:lang w:val="en-US"/>
      </w:rPr>
      <w:t xml:space="preserve"> — Boost AI Agency (AI Nexus Labs SRL) — Página </w:t>
    </w:r>
    <w:r>
      <w:rPr>
        <w:color w:val="999999"/>
        <w:sz w:val="16"/>
        <w:szCs w:val="16"/>
      </w:rPr>
      <w:fldChar w:fldCharType="begin"/>
    </w:r>
    <w:r w:rsidRPr="00F83808">
      <w:rPr>
        <w:color w:val="999999"/>
        <w:sz w:val="16"/>
        <w:szCs w:val="16"/>
        <w:lang w:val="en-US"/>
      </w:rPr>
      <w:instrText>PAGE</w:instrText>
    </w:r>
    <w:r>
      <w:rPr>
        <w:color w:val="999999"/>
        <w:sz w:val="16"/>
        <w:szCs w:val="16"/>
      </w:rPr>
      <w:fldChar w:fldCharType="separate"/>
    </w:r>
    <w:r w:rsidR="00C42B09" w:rsidRPr="00F83808">
      <w:rPr>
        <w:noProof/>
        <w:color w:val="999999"/>
        <w:sz w:val="16"/>
        <w:szCs w:val="16"/>
        <w:lang w:val="en-US"/>
      </w:rPr>
      <w:t>8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28EA" w14:textId="77777777" w:rsidR="007C1126" w:rsidRDefault="007C1126">
      <w:r>
        <w:separator/>
      </w:r>
    </w:p>
  </w:footnote>
  <w:footnote w:type="continuationSeparator" w:id="0">
    <w:p w14:paraId="7F1C93D8" w14:textId="77777777" w:rsidR="007C1126" w:rsidRDefault="007C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28F"/>
    <w:multiLevelType w:val="hybridMultilevel"/>
    <w:tmpl w:val="4FE0BCCC"/>
    <w:lvl w:ilvl="0" w:tplc="F65A8446">
      <w:start w:val="1"/>
      <w:numFmt w:val="bullet"/>
      <w:lvlText w:val="●"/>
      <w:lvlJc w:val="left"/>
      <w:pPr>
        <w:ind w:left="1080" w:hanging="360"/>
      </w:p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55242E"/>
    <w:multiLevelType w:val="hybridMultilevel"/>
    <w:tmpl w:val="7F345278"/>
    <w:lvl w:ilvl="0" w:tplc="F65A8446">
      <w:start w:val="1"/>
      <w:numFmt w:val="bullet"/>
      <w:lvlText w:val="●"/>
      <w:lvlJc w:val="left"/>
      <w:pPr>
        <w:ind w:left="1080" w:hanging="360"/>
      </w:p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9D5E2D"/>
    <w:multiLevelType w:val="hybridMultilevel"/>
    <w:tmpl w:val="6FEAF9BA"/>
    <w:lvl w:ilvl="0" w:tplc="062E85F8">
      <w:start w:val="1"/>
      <w:numFmt w:val="bullet"/>
      <w:lvlText w:val="○"/>
      <w:lvlJc w:val="left"/>
      <w:pPr>
        <w:ind w:left="1080" w:hanging="360"/>
      </w:p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091A97"/>
    <w:multiLevelType w:val="hybridMultilevel"/>
    <w:tmpl w:val="78A61124"/>
    <w:lvl w:ilvl="0" w:tplc="062E85F8">
      <w:start w:val="1"/>
      <w:numFmt w:val="bullet"/>
      <w:lvlText w:val="○"/>
      <w:lvlJc w:val="left"/>
      <w:pPr>
        <w:ind w:left="1080" w:hanging="360"/>
      </w:p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E74C2"/>
    <w:multiLevelType w:val="hybridMultilevel"/>
    <w:tmpl w:val="EF88E5D2"/>
    <w:lvl w:ilvl="0" w:tplc="062E85F8">
      <w:start w:val="1"/>
      <w:numFmt w:val="bullet"/>
      <w:lvlText w:val="○"/>
      <w:lvlJc w:val="left"/>
      <w:pPr>
        <w:ind w:left="1080" w:hanging="360"/>
      </w:p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C814DA"/>
    <w:multiLevelType w:val="hybridMultilevel"/>
    <w:tmpl w:val="65A4CBBC"/>
    <w:lvl w:ilvl="0" w:tplc="062E85F8">
      <w:start w:val="1"/>
      <w:numFmt w:val="bullet"/>
      <w:lvlText w:val="○"/>
      <w:lvlJc w:val="left"/>
      <w:pPr>
        <w:ind w:left="1080" w:hanging="360"/>
      </w:p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371394"/>
    <w:multiLevelType w:val="hybridMultilevel"/>
    <w:tmpl w:val="D624A38E"/>
    <w:lvl w:ilvl="0" w:tplc="062E85F8">
      <w:start w:val="1"/>
      <w:numFmt w:val="bullet"/>
      <w:lvlText w:val="○"/>
      <w:lvlJc w:val="left"/>
      <w:pPr>
        <w:ind w:left="720" w:hanging="360"/>
      </w:p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67724FDF"/>
    <w:multiLevelType w:val="hybridMultilevel"/>
    <w:tmpl w:val="1BDC3C5C"/>
    <w:lvl w:ilvl="0" w:tplc="F65A8446">
      <w:start w:val="1"/>
      <w:numFmt w:val="bullet"/>
      <w:lvlText w:val="●"/>
      <w:lvlJc w:val="left"/>
      <w:pPr>
        <w:ind w:left="720" w:hanging="360"/>
      </w:pPr>
    </w:lvl>
    <w:lvl w:ilvl="1" w:tplc="062E85F8">
      <w:start w:val="1"/>
      <w:numFmt w:val="bullet"/>
      <w:lvlText w:val="○"/>
      <w:lvlJc w:val="left"/>
      <w:pPr>
        <w:ind w:left="1440" w:hanging="360"/>
      </w:pPr>
    </w:lvl>
    <w:lvl w:ilvl="2" w:tplc="DBAE207C">
      <w:start w:val="1"/>
      <w:numFmt w:val="bullet"/>
      <w:lvlText w:val="■"/>
      <w:lvlJc w:val="left"/>
      <w:pPr>
        <w:ind w:left="2160" w:hanging="360"/>
      </w:pPr>
    </w:lvl>
    <w:lvl w:ilvl="3" w:tplc="9A72B4C2">
      <w:start w:val="1"/>
      <w:numFmt w:val="bullet"/>
      <w:lvlText w:val="●"/>
      <w:lvlJc w:val="left"/>
      <w:pPr>
        <w:ind w:left="2880" w:hanging="360"/>
      </w:pPr>
    </w:lvl>
    <w:lvl w:ilvl="4" w:tplc="F9A61C36">
      <w:start w:val="1"/>
      <w:numFmt w:val="bullet"/>
      <w:lvlText w:val="○"/>
      <w:lvlJc w:val="left"/>
      <w:pPr>
        <w:ind w:left="3600" w:hanging="360"/>
      </w:pPr>
    </w:lvl>
    <w:lvl w:ilvl="5" w:tplc="994A3E6E">
      <w:start w:val="1"/>
      <w:numFmt w:val="bullet"/>
      <w:lvlText w:val="■"/>
      <w:lvlJc w:val="left"/>
      <w:pPr>
        <w:ind w:left="4320" w:hanging="360"/>
      </w:pPr>
    </w:lvl>
    <w:lvl w:ilvl="6" w:tplc="4E044F16">
      <w:start w:val="1"/>
      <w:numFmt w:val="bullet"/>
      <w:lvlText w:val="●"/>
      <w:lvlJc w:val="left"/>
      <w:pPr>
        <w:ind w:left="5040" w:hanging="360"/>
      </w:pPr>
    </w:lvl>
    <w:lvl w:ilvl="7" w:tplc="78BC2684">
      <w:start w:val="1"/>
      <w:numFmt w:val="bullet"/>
      <w:lvlText w:val="●"/>
      <w:lvlJc w:val="left"/>
      <w:pPr>
        <w:ind w:left="5760" w:hanging="360"/>
      </w:pPr>
    </w:lvl>
    <w:lvl w:ilvl="8" w:tplc="15281A82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684D20CC"/>
    <w:multiLevelType w:val="hybridMultilevel"/>
    <w:tmpl w:val="B15EEFBC"/>
    <w:lvl w:ilvl="0" w:tplc="062E85F8">
      <w:start w:val="1"/>
      <w:numFmt w:val="bullet"/>
      <w:lvlText w:val="○"/>
      <w:lvlJc w:val="left"/>
      <w:pPr>
        <w:ind w:left="1080" w:hanging="360"/>
      </w:p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7856294">
    <w:abstractNumId w:val="7"/>
    <w:lvlOverride w:ilvl="0">
      <w:startOverride w:val="1"/>
    </w:lvlOverride>
  </w:num>
  <w:num w:numId="2" w16cid:durableId="1129858826">
    <w:abstractNumId w:val="7"/>
  </w:num>
  <w:num w:numId="3" w16cid:durableId="1346513791">
    <w:abstractNumId w:val="6"/>
  </w:num>
  <w:num w:numId="4" w16cid:durableId="1362247502">
    <w:abstractNumId w:val="3"/>
  </w:num>
  <w:num w:numId="5" w16cid:durableId="1326015700">
    <w:abstractNumId w:val="5"/>
  </w:num>
  <w:num w:numId="6" w16cid:durableId="328293734">
    <w:abstractNumId w:val="8"/>
  </w:num>
  <w:num w:numId="7" w16cid:durableId="2137412099">
    <w:abstractNumId w:val="0"/>
  </w:num>
  <w:num w:numId="8" w16cid:durableId="1174028877">
    <w:abstractNumId w:val="1"/>
  </w:num>
  <w:num w:numId="9" w16cid:durableId="122426270">
    <w:abstractNumId w:val="4"/>
  </w:num>
  <w:num w:numId="10" w16cid:durableId="158453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27"/>
    <w:rsid w:val="00081D27"/>
    <w:rsid w:val="00232EC4"/>
    <w:rsid w:val="00280017"/>
    <w:rsid w:val="00603354"/>
    <w:rsid w:val="007430A5"/>
    <w:rsid w:val="007C1126"/>
    <w:rsid w:val="00C42B09"/>
    <w:rsid w:val="00D36905"/>
    <w:rsid w:val="00ED1B8E"/>
    <w:rsid w:val="00EF2849"/>
    <w:rsid w:val="00F83808"/>
    <w:rsid w:val="00FF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2717D"/>
  <w15:docId w15:val="{E52B88FA-01FB-4CE2-AF56-65D0CA32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F28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2849"/>
  </w:style>
  <w:style w:type="paragraph" w:styleId="Piedepgina">
    <w:name w:val="footer"/>
    <w:basedOn w:val="Normal"/>
    <w:link w:val="PiedepginaCar"/>
    <w:uiPriority w:val="99"/>
    <w:unhideWhenUsed/>
    <w:rsid w:val="00EF28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1262</Words>
  <Characters>7687</Characters>
  <Application>Microsoft Office Word</Application>
  <DocSecurity>0</DocSecurity>
  <Lines>427</Lines>
  <Paragraphs>344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Mariano Bolanos</cp:lastModifiedBy>
  <cp:revision>5</cp:revision>
  <dcterms:created xsi:type="dcterms:W3CDTF">2026-04-16T22:53:00Z</dcterms:created>
  <dcterms:modified xsi:type="dcterms:W3CDTF">2026-04-17T22:24:00Z</dcterms:modified>
</cp:coreProperties>
</file>